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9677" w14:textId="11CC6124" w:rsidR="00B36FE6" w:rsidRPr="008558F2" w:rsidRDefault="005B2D0C" w:rsidP="005B2D0C">
      <w:pPr>
        <w:spacing w:before="279" w:line="273" w:lineRule="exact"/>
        <w:textAlignment w:val="baseline"/>
        <w:rPr>
          <w:rFonts w:ascii="Arial" w:eastAsia="Times New Roman" w:hAnsi="Arial" w:cs="Arial"/>
          <w:color w:val="000000"/>
          <w:spacing w:val="-1"/>
          <w:sz w:val="20"/>
          <w:szCs w:val="20"/>
        </w:rPr>
      </w:pPr>
      <w:r w:rsidRPr="008558F2">
        <w:rPr>
          <w:rFonts w:ascii="Arial" w:eastAsia="Times New Roman" w:hAnsi="Arial" w:cs="Arial"/>
          <w:b/>
          <w:color w:val="000000"/>
          <w:spacing w:val="-1"/>
          <w:sz w:val="20"/>
          <w:szCs w:val="20"/>
        </w:rPr>
        <w:t>The following definitions are e</w:t>
      </w:r>
      <w:r w:rsidR="00B36FE6" w:rsidRPr="008558F2">
        <w:rPr>
          <w:rFonts w:ascii="Arial" w:eastAsia="Times New Roman" w:hAnsi="Arial" w:cs="Arial"/>
          <w:b/>
          <w:color w:val="000000"/>
          <w:spacing w:val="-1"/>
          <w:sz w:val="20"/>
          <w:szCs w:val="20"/>
        </w:rPr>
        <w:t>xtracted from Appendix D-2</w:t>
      </w:r>
      <w:r w:rsidR="002C438D" w:rsidRPr="008558F2">
        <w:rPr>
          <w:rFonts w:ascii="Arial" w:eastAsia="Times New Roman" w:hAnsi="Arial" w:cs="Arial"/>
          <w:b/>
          <w:color w:val="000000"/>
          <w:spacing w:val="-1"/>
          <w:sz w:val="20"/>
          <w:szCs w:val="20"/>
        </w:rPr>
        <w:t xml:space="preserve"> to the </w:t>
      </w:r>
      <w:r w:rsidRPr="008558F2">
        <w:rPr>
          <w:rFonts w:ascii="Arial" w:eastAsia="Times New Roman" w:hAnsi="Arial" w:cs="Arial"/>
          <w:b/>
          <w:color w:val="000000"/>
          <w:spacing w:val="-1"/>
          <w:sz w:val="20"/>
          <w:szCs w:val="20"/>
        </w:rPr>
        <w:t xml:space="preserve">Volkswagen </w:t>
      </w:r>
      <w:r w:rsidR="002C438D" w:rsidRPr="008558F2">
        <w:rPr>
          <w:rFonts w:ascii="Arial" w:eastAsia="Times New Roman" w:hAnsi="Arial" w:cs="Arial"/>
          <w:b/>
          <w:color w:val="000000"/>
          <w:spacing w:val="-1"/>
          <w:sz w:val="20"/>
          <w:szCs w:val="20"/>
        </w:rPr>
        <w:t>Environmental Mitigation Trust for State Beneficiaries</w:t>
      </w:r>
      <w:r w:rsidRPr="008558F2">
        <w:rPr>
          <w:rFonts w:ascii="Arial" w:eastAsia="Times New Roman" w:hAnsi="Arial" w:cs="Arial"/>
          <w:b/>
          <w:color w:val="000000"/>
          <w:spacing w:val="-1"/>
          <w:sz w:val="20"/>
          <w:szCs w:val="20"/>
        </w:rPr>
        <w:t>.</w:t>
      </w:r>
    </w:p>
    <w:p w14:paraId="56FB2EEB" w14:textId="57767B92" w:rsidR="00E5102F" w:rsidRPr="008558F2" w:rsidRDefault="00C20E4E" w:rsidP="00541D0E">
      <w:pPr>
        <w:spacing w:before="300" w:line="279" w:lineRule="exact"/>
        <w:ind w:left="180" w:right="288"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Airport Ground Support Equipment</w:t>
      </w:r>
      <w:r w:rsidR="005B2D0C" w:rsidRPr="008558F2">
        <w:rPr>
          <w:rFonts w:ascii="Arial" w:eastAsia="Times New Roman" w:hAnsi="Arial" w:cs="Arial"/>
          <w:color w:val="000000"/>
          <w:sz w:val="20"/>
          <w:szCs w:val="20"/>
        </w:rPr>
        <w:t xml:space="preserve"> – </w:t>
      </w:r>
      <w:r w:rsidRPr="008558F2">
        <w:rPr>
          <w:rFonts w:ascii="Arial" w:eastAsia="Times New Roman" w:hAnsi="Arial" w:cs="Arial"/>
          <w:color w:val="000000"/>
          <w:sz w:val="20"/>
          <w:szCs w:val="20"/>
        </w:rPr>
        <w:t>vehicles and equipment used at an airport to service aircraft between flights.</w:t>
      </w:r>
      <w:bookmarkStart w:id="0" w:name="_GoBack"/>
      <w:bookmarkEnd w:id="0"/>
    </w:p>
    <w:p w14:paraId="7D43C75B" w14:textId="714F8B4C" w:rsidR="00E5102F" w:rsidRPr="008558F2" w:rsidRDefault="00C20E4E" w:rsidP="00541D0E">
      <w:pPr>
        <w:spacing w:before="279" w:line="273" w:lineRule="exact"/>
        <w:ind w:left="180" w:right="216"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All-Electric </w:t>
      </w:r>
      <w:r w:rsidR="005B2D0C"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 xml:space="preserve">Powered </w:t>
      </w:r>
      <w:r w:rsidRPr="008558F2">
        <w:rPr>
          <w:rFonts w:ascii="Arial" w:eastAsia="Times New Roman" w:hAnsi="Arial" w:cs="Arial"/>
          <w:color w:val="000000"/>
          <w:sz w:val="20"/>
          <w:szCs w:val="20"/>
        </w:rPr>
        <w:t>exclusively by electricity provided by a battery, fuel cell, or the grid.</w:t>
      </w:r>
    </w:p>
    <w:p w14:paraId="2C43F408" w14:textId="15E240E5" w:rsidR="005C47DF" w:rsidRPr="008558F2" w:rsidRDefault="00C20E4E" w:rsidP="00541D0E">
      <w:pPr>
        <w:spacing w:before="273" w:line="276" w:lineRule="exact"/>
        <w:ind w:left="180" w:right="432"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Class 4-7 Local Freight Trucks (Medium Trucks) </w:t>
      </w:r>
      <w:r w:rsidR="005B2D0C"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T</w:t>
      </w:r>
      <w:r w:rsidRPr="008558F2">
        <w:rPr>
          <w:rFonts w:ascii="Arial" w:eastAsia="Times New Roman" w:hAnsi="Arial" w:cs="Arial"/>
          <w:color w:val="000000"/>
          <w:sz w:val="20"/>
          <w:szCs w:val="20"/>
        </w:rPr>
        <w:t>rucks, including commercial trucks, used to deliver cargo and freight (e.g., courier services, delivery trucks, box trucks moving freight, waste haulers, dump trucks, concrete mixers) with a Gross Vehicle Weight Rating (GVWR) between 14,001 and 33,000 lbs.</w:t>
      </w:r>
      <w:r w:rsidR="005C47DF" w:rsidRPr="008558F2">
        <w:rPr>
          <w:rFonts w:ascii="Arial" w:eastAsia="Times New Roman" w:hAnsi="Arial" w:cs="Arial"/>
          <w:color w:val="000000"/>
          <w:sz w:val="20"/>
          <w:szCs w:val="20"/>
        </w:rPr>
        <w:t xml:space="preserve"> </w:t>
      </w:r>
    </w:p>
    <w:p w14:paraId="45F5A80E" w14:textId="1ED340C3" w:rsidR="00E5102F" w:rsidRPr="008558F2" w:rsidRDefault="00C20E4E" w:rsidP="00541D0E">
      <w:pPr>
        <w:spacing w:before="273" w:line="276" w:lineRule="exact"/>
        <w:ind w:left="180" w:right="432"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Class 4-8 Shuttle Bus</w:t>
      </w:r>
      <w:r w:rsidR="004C0BA9"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V</w:t>
      </w:r>
      <w:r w:rsidRPr="008558F2">
        <w:rPr>
          <w:rFonts w:ascii="Arial" w:eastAsia="Times New Roman" w:hAnsi="Arial" w:cs="Arial"/>
          <w:color w:val="000000"/>
          <w:sz w:val="20"/>
          <w:szCs w:val="20"/>
        </w:rPr>
        <w:t xml:space="preserve">ehicles with a </w:t>
      </w:r>
      <w:r w:rsidR="005B2D0C" w:rsidRPr="008558F2">
        <w:rPr>
          <w:rFonts w:ascii="Arial" w:eastAsia="Times New Roman" w:hAnsi="Arial" w:cs="Arial"/>
          <w:color w:val="000000"/>
          <w:sz w:val="20"/>
          <w:szCs w:val="20"/>
        </w:rPr>
        <w:t>GVWR</w:t>
      </w:r>
      <w:r w:rsidRPr="008558F2">
        <w:rPr>
          <w:rFonts w:ascii="Arial" w:eastAsia="Times New Roman" w:hAnsi="Arial" w:cs="Arial"/>
          <w:color w:val="000000"/>
          <w:sz w:val="20"/>
          <w:szCs w:val="20"/>
        </w:rPr>
        <w:t xml:space="preserve"> greater than 14,001 lbs. used for transporting people. </w:t>
      </w:r>
    </w:p>
    <w:p w14:paraId="7C3CF00F" w14:textId="774EE616" w:rsidR="00E5102F" w:rsidRPr="008558F2" w:rsidRDefault="00C20E4E" w:rsidP="00541D0E">
      <w:pPr>
        <w:spacing w:before="276" w:line="276" w:lineRule="exact"/>
        <w:ind w:left="180"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Class 8 Local Freight, and Port Drayage Trucks (Eligible Large Trucks) </w:t>
      </w:r>
      <w:r w:rsidR="005B2D0C" w:rsidRPr="008558F2">
        <w:rPr>
          <w:rFonts w:ascii="Arial" w:eastAsia="Times New Roman" w:hAnsi="Arial" w:cs="Arial"/>
          <w:color w:val="000000"/>
          <w:sz w:val="20"/>
          <w:szCs w:val="20"/>
        </w:rPr>
        <w:t>– T</w:t>
      </w:r>
      <w:r w:rsidRPr="008558F2">
        <w:rPr>
          <w:rFonts w:ascii="Arial" w:eastAsia="Times New Roman" w:hAnsi="Arial" w:cs="Arial"/>
          <w:color w:val="000000"/>
          <w:sz w:val="20"/>
          <w:szCs w:val="20"/>
        </w:rPr>
        <w:t xml:space="preserve">rucks with a </w:t>
      </w:r>
      <w:r w:rsidR="005B2D0C" w:rsidRPr="008558F2">
        <w:rPr>
          <w:rFonts w:ascii="Arial" w:eastAsia="Times New Roman" w:hAnsi="Arial" w:cs="Arial"/>
          <w:color w:val="000000"/>
          <w:sz w:val="20"/>
          <w:szCs w:val="20"/>
        </w:rPr>
        <w:t>GVWR</w:t>
      </w:r>
      <w:r w:rsidRPr="008558F2">
        <w:rPr>
          <w:rFonts w:ascii="Arial" w:eastAsia="Times New Roman" w:hAnsi="Arial" w:cs="Arial"/>
          <w:color w:val="000000"/>
          <w:sz w:val="20"/>
          <w:szCs w:val="20"/>
        </w:rPr>
        <w:t xml:space="preserve"> greater than 33,000 lbs. used for port drayage and/or freight/cargo delivery (including waste haulers, dump trucks, concrete mixers).</w:t>
      </w:r>
    </w:p>
    <w:p w14:paraId="48D25A86" w14:textId="2BC342F0" w:rsidR="00E5102F" w:rsidRPr="008558F2" w:rsidRDefault="00C20E4E" w:rsidP="00541D0E">
      <w:pPr>
        <w:spacing w:before="281" w:line="271" w:lineRule="exact"/>
        <w:ind w:left="180"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Drayage Trucks </w:t>
      </w:r>
      <w:r w:rsidR="005B2D0C" w:rsidRPr="008558F2">
        <w:rPr>
          <w:rFonts w:ascii="Arial" w:eastAsia="Times New Roman" w:hAnsi="Arial" w:cs="Arial"/>
          <w:color w:val="000000"/>
          <w:sz w:val="20"/>
          <w:szCs w:val="20"/>
        </w:rPr>
        <w:t xml:space="preserve">– </w:t>
      </w:r>
      <w:r w:rsidR="001A2AE1" w:rsidRPr="008558F2">
        <w:rPr>
          <w:rFonts w:ascii="Arial" w:eastAsia="Times New Roman" w:hAnsi="Arial" w:cs="Arial"/>
          <w:color w:val="000000"/>
          <w:sz w:val="20"/>
          <w:szCs w:val="20"/>
        </w:rPr>
        <w:t>C</w:t>
      </w:r>
      <w:r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t</w:t>
      </w:r>
      <w:r w:rsidRPr="008558F2">
        <w:rPr>
          <w:rFonts w:ascii="Arial" w:eastAsia="Times New Roman" w:hAnsi="Arial" w:cs="Arial"/>
          <w:color w:val="000000"/>
          <w:sz w:val="20"/>
          <w:szCs w:val="20"/>
        </w:rPr>
        <w:t>rucks hauling cargo to and from ports and intermodal rail yards.</w:t>
      </w:r>
    </w:p>
    <w:p w14:paraId="1C895966" w14:textId="12ED3159" w:rsidR="001A2AE1" w:rsidRPr="008558F2" w:rsidRDefault="001A2AE1" w:rsidP="00541D0E">
      <w:pPr>
        <w:spacing w:before="281" w:line="271" w:lineRule="exact"/>
        <w:ind w:left="180"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Ferr</w:t>
      </w:r>
      <w:r w:rsidR="00114287" w:rsidRPr="008558F2">
        <w:rPr>
          <w:rFonts w:ascii="Arial" w:eastAsia="Times New Roman" w:hAnsi="Arial" w:cs="Arial"/>
          <w:color w:val="000000"/>
          <w:sz w:val="20"/>
          <w:szCs w:val="20"/>
        </w:rPr>
        <w:t>ies</w:t>
      </w:r>
      <w:r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 D</w:t>
      </w:r>
      <w:r w:rsidR="00114287" w:rsidRPr="008558F2">
        <w:rPr>
          <w:rFonts w:ascii="Arial" w:eastAsia="Times New Roman" w:hAnsi="Arial" w:cs="Arial"/>
          <w:color w:val="000000"/>
          <w:sz w:val="20"/>
          <w:szCs w:val="20"/>
        </w:rPr>
        <w:t>edicated</w:t>
      </w:r>
      <w:r w:rsidRPr="008558F2">
        <w:rPr>
          <w:rFonts w:ascii="Arial" w:eastAsia="Times New Roman" w:hAnsi="Arial" w:cs="Arial"/>
          <w:color w:val="000000"/>
          <w:sz w:val="20"/>
          <w:szCs w:val="20"/>
        </w:rPr>
        <w:t xml:space="preserve"> vessel</w:t>
      </w:r>
      <w:r w:rsidR="00114287" w:rsidRPr="008558F2">
        <w:rPr>
          <w:rFonts w:ascii="Arial" w:eastAsia="Times New Roman" w:hAnsi="Arial" w:cs="Arial"/>
          <w:color w:val="000000"/>
          <w:sz w:val="20"/>
          <w:szCs w:val="20"/>
        </w:rPr>
        <w:t>s</w:t>
      </w:r>
      <w:r w:rsidRPr="008558F2">
        <w:rPr>
          <w:rFonts w:ascii="Arial" w:eastAsia="Times New Roman" w:hAnsi="Arial" w:cs="Arial"/>
          <w:color w:val="000000"/>
          <w:sz w:val="20"/>
          <w:szCs w:val="20"/>
        </w:rPr>
        <w:t xml:space="preserve"> </w:t>
      </w:r>
      <w:r w:rsidR="00114287" w:rsidRPr="008558F2">
        <w:rPr>
          <w:rFonts w:ascii="Arial" w:eastAsia="Times New Roman" w:hAnsi="Arial" w:cs="Arial"/>
          <w:color w:val="000000"/>
          <w:sz w:val="20"/>
          <w:szCs w:val="20"/>
        </w:rPr>
        <w:t xml:space="preserve">that transport vehicles across a body of water. </w:t>
      </w:r>
    </w:p>
    <w:p w14:paraId="48E78FE2" w14:textId="3117A133" w:rsidR="00E5102F" w:rsidRPr="008558F2" w:rsidRDefault="00C20E4E" w:rsidP="00541D0E">
      <w:pPr>
        <w:spacing w:before="274" w:line="278" w:lineRule="exact"/>
        <w:ind w:left="180" w:right="144" w:hanging="180"/>
        <w:jc w:val="both"/>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Freight Switcher </w:t>
      </w:r>
      <w:r w:rsidR="005B2D0C" w:rsidRPr="008558F2">
        <w:rPr>
          <w:rFonts w:ascii="Arial" w:eastAsia="Times New Roman" w:hAnsi="Arial" w:cs="Arial"/>
          <w:color w:val="000000"/>
          <w:sz w:val="20"/>
          <w:szCs w:val="20"/>
        </w:rPr>
        <w:t>– A</w:t>
      </w:r>
      <w:r w:rsidRPr="008558F2">
        <w:rPr>
          <w:rFonts w:ascii="Arial" w:eastAsia="Times New Roman" w:hAnsi="Arial" w:cs="Arial"/>
          <w:color w:val="000000"/>
          <w:sz w:val="20"/>
          <w:szCs w:val="20"/>
        </w:rPr>
        <w:t xml:space="preserve"> locomotive that moves rail cars around a rail yard as compared to a line-haul engine that moves freight long distances.</w:t>
      </w:r>
    </w:p>
    <w:p w14:paraId="505EF292" w14:textId="3A70A2FC" w:rsidR="00E5102F" w:rsidRPr="008558F2" w:rsidRDefault="00C20E4E" w:rsidP="00541D0E">
      <w:pPr>
        <w:spacing w:before="276" w:line="276" w:lineRule="exact"/>
        <w:ind w:left="180" w:right="360"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Government </w:t>
      </w:r>
      <w:r w:rsidR="005B2D0C"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A state</w:t>
      </w:r>
      <w:r w:rsidR="001D21C3">
        <w:rPr>
          <w:rFonts w:ascii="Arial" w:eastAsia="Times New Roman" w:hAnsi="Arial" w:cs="Arial"/>
          <w:color w:val="000000"/>
          <w:sz w:val="20"/>
          <w:szCs w:val="20"/>
        </w:rPr>
        <w:t xml:space="preserve"> or local government agency </w:t>
      </w:r>
      <w:r w:rsidRPr="008558F2">
        <w:rPr>
          <w:rFonts w:ascii="Arial" w:eastAsia="Times New Roman" w:hAnsi="Arial" w:cs="Arial"/>
          <w:color w:val="000000"/>
          <w:sz w:val="20"/>
          <w:szCs w:val="20"/>
        </w:rPr>
        <w:t>including a school district, municipality, city, county, special district, transit district, joint powers authority, or port authority, and a tribal government or native village. The term State means the several States, the District of Columbia, and the Commonwealth of Puerto Rico.</w:t>
      </w:r>
    </w:p>
    <w:p w14:paraId="658CB942" w14:textId="27CC1400" w:rsidR="00E5102F" w:rsidRPr="008558F2" w:rsidRDefault="00C20E4E" w:rsidP="00541D0E">
      <w:pPr>
        <w:spacing w:before="276" w:line="276" w:lineRule="exact"/>
        <w:ind w:left="180" w:right="72" w:hanging="180"/>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Gross Vehicle Weight Rating </w:t>
      </w:r>
      <w:r w:rsidR="005B2D0C" w:rsidRPr="008558F2">
        <w:rPr>
          <w:rFonts w:ascii="Arial" w:eastAsia="Times New Roman" w:hAnsi="Arial" w:cs="Arial"/>
          <w:color w:val="000000"/>
          <w:sz w:val="20"/>
          <w:szCs w:val="20"/>
        </w:rPr>
        <w:t>–</w:t>
      </w:r>
      <w:r w:rsidR="005B2D0C" w:rsidRPr="008558F2" w:rsidDel="005B2D0C">
        <w:rPr>
          <w:rFonts w:ascii="Arial" w:eastAsia="Times New Roman" w:hAnsi="Arial" w:cs="Arial"/>
          <w:color w:val="000000"/>
          <w:sz w:val="20"/>
          <w:szCs w:val="20"/>
        </w:rPr>
        <w:t xml:space="preserve"> </w:t>
      </w:r>
      <w:r w:rsidR="005B2D0C" w:rsidRPr="008558F2">
        <w:rPr>
          <w:rFonts w:ascii="Arial" w:eastAsia="Times New Roman" w:hAnsi="Arial" w:cs="Arial"/>
          <w:color w:val="000000"/>
          <w:sz w:val="20"/>
          <w:szCs w:val="20"/>
        </w:rPr>
        <w:t>T</w:t>
      </w:r>
      <w:r w:rsidRPr="008558F2">
        <w:rPr>
          <w:rFonts w:ascii="Arial" w:eastAsia="Times New Roman" w:hAnsi="Arial" w:cs="Arial"/>
          <w:color w:val="000000"/>
          <w:sz w:val="20"/>
          <w:szCs w:val="20"/>
        </w:rPr>
        <w:t>he maximum weight of the vehicle, as specified by the manufacturer. GVWR includes total vehicle weight plus fluids, passengers, and cargo.</w:t>
      </w:r>
      <w:r w:rsidR="005B2D0C" w:rsidRPr="008558F2">
        <w:rPr>
          <w:rFonts w:ascii="Arial" w:eastAsia="Times New Roman" w:hAnsi="Arial" w:cs="Arial"/>
          <w:color w:val="000000"/>
          <w:sz w:val="20"/>
          <w:szCs w:val="20"/>
        </w:rPr>
        <w:t xml:space="preserve"> Classes are:</w:t>
      </w:r>
    </w:p>
    <w:p w14:paraId="62ABFA3B" w14:textId="5B2817EB" w:rsidR="00E5102F"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Class</w:t>
      </w:r>
      <w:r w:rsidR="005B2D0C" w:rsidRPr="008558F2">
        <w:rPr>
          <w:rFonts w:ascii="Arial" w:hAnsi="Arial" w:cs="Arial"/>
          <w:sz w:val="20"/>
          <w:szCs w:val="20"/>
        </w:rPr>
        <w:t xml:space="preserve"> </w:t>
      </w:r>
      <w:r w:rsidRPr="008558F2">
        <w:rPr>
          <w:rFonts w:ascii="Arial" w:hAnsi="Arial" w:cs="Arial"/>
          <w:sz w:val="20"/>
          <w:szCs w:val="20"/>
        </w:rPr>
        <w:t>1: &lt; 6000 lb.</w:t>
      </w:r>
    </w:p>
    <w:p w14:paraId="78AD28B4" w14:textId="750A0851" w:rsidR="005B2D0C"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Class</w:t>
      </w:r>
      <w:r w:rsidR="005B2D0C" w:rsidRPr="008558F2">
        <w:rPr>
          <w:rFonts w:ascii="Arial" w:hAnsi="Arial" w:cs="Arial"/>
          <w:sz w:val="20"/>
          <w:szCs w:val="20"/>
        </w:rPr>
        <w:t xml:space="preserve"> </w:t>
      </w:r>
      <w:r w:rsidRPr="008558F2">
        <w:rPr>
          <w:rFonts w:ascii="Arial" w:hAnsi="Arial" w:cs="Arial"/>
          <w:sz w:val="20"/>
          <w:szCs w:val="20"/>
        </w:rPr>
        <w:t>2:</w:t>
      </w:r>
      <w:r w:rsidR="005B2D0C" w:rsidRPr="008558F2">
        <w:rPr>
          <w:rFonts w:ascii="Arial" w:hAnsi="Arial" w:cs="Arial"/>
          <w:sz w:val="20"/>
          <w:szCs w:val="20"/>
        </w:rPr>
        <w:t xml:space="preserve"> </w:t>
      </w:r>
      <w:r w:rsidRPr="008558F2">
        <w:rPr>
          <w:rFonts w:ascii="Arial" w:hAnsi="Arial" w:cs="Arial"/>
          <w:sz w:val="20"/>
          <w:szCs w:val="20"/>
        </w:rPr>
        <w:t xml:space="preserve">6001-10,000 lb. </w:t>
      </w:r>
    </w:p>
    <w:p w14:paraId="6987DA12" w14:textId="77777777" w:rsidR="005B2D0C"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 xml:space="preserve">Class 3: 10,001-14,000 lb. </w:t>
      </w:r>
    </w:p>
    <w:p w14:paraId="0DAE9E93" w14:textId="77777777" w:rsidR="005B2D0C"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 xml:space="preserve">Class 4: 14,001-16,000 lb. </w:t>
      </w:r>
    </w:p>
    <w:p w14:paraId="67ED9A94" w14:textId="77777777" w:rsidR="005B2D0C"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 xml:space="preserve">Class 5: 16,001-19,500 lb. </w:t>
      </w:r>
    </w:p>
    <w:p w14:paraId="5F8239B8" w14:textId="77777777" w:rsidR="005B2D0C"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 xml:space="preserve">Class 6: 19,501-26,000 lb. </w:t>
      </w:r>
    </w:p>
    <w:p w14:paraId="62EA8751" w14:textId="77777777" w:rsidR="005B2D0C"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 xml:space="preserve">Class 7: 26,001-33,000 lb. </w:t>
      </w:r>
    </w:p>
    <w:p w14:paraId="2C85FF83" w14:textId="1CEE08C9" w:rsidR="00541D0E" w:rsidRPr="008558F2" w:rsidRDefault="00C20E4E" w:rsidP="008558F2">
      <w:pPr>
        <w:pStyle w:val="NoSpacing"/>
        <w:ind w:left="360" w:hanging="180"/>
        <w:rPr>
          <w:rFonts w:ascii="Arial" w:hAnsi="Arial" w:cs="Arial"/>
          <w:sz w:val="20"/>
          <w:szCs w:val="20"/>
        </w:rPr>
      </w:pPr>
      <w:r w:rsidRPr="008558F2">
        <w:rPr>
          <w:rFonts w:ascii="Arial" w:hAnsi="Arial" w:cs="Arial"/>
          <w:sz w:val="20"/>
          <w:szCs w:val="20"/>
        </w:rPr>
        <w:t>Class 8: &gt; 33,001 lb.</w:t>
      </w:r>
    </w:p>
    <w:p w14:paraId="69D84853" w14:textId="77777777" w:rsidR="00541D0E" w:rsidRPr="008558F2" w:rsidRDefault="00541D0E" w:rsidP="008558F2">
      <w:pPr>
        <w:pStyle w:val="NoSpacing"/>
        <w:ind w:left="360" w:hanging="180"/>
        <w:rPr>
          <w:rFonts w:ascii="Arial" w:hAnsi="Arial" w:cs="Arial"/>
          <w:sz w:val="20"/>
          <w:szCs w:val="20"/>
        </w:rPr>
      </w:pPr>
    </w:p>
    <w:p w14:paraId="16A54D7B" w14:textId="37671DB1" w:rsidR="00541D0E" w:rsidRDefault="00C20E4E" w:rsidP="008558F2">
      <w:pPr>
        <w:pStyle w:val="NoSpacing"/>
        <w:ind w:left="180" w:hanging="180"/>
        <w:rPr>
          <w:rFonts w:ascii="Arial" w:hAnsi="Arial" w:cs="Arial"/>
          <w:sz w:val="20"/>
          <w:szCs w:val="20"/>
        </w:rPr>
      </w:pPr>
      <w:r w:rsidRPr="008558F2">
        <w:rPr>
          <w:rFonts w:ascii="Arial" w:eastAsia="Times New Roman" w:hAnsi="Arial" w:cs="Arial"/>
          <w:color w:val="000000"/>
          <w:sz w:val="20"/>
          <w:szCs w:val="20"/>
        </w:rPr>
        <w:t xml:space="preserve">Infrastructure </w:t>
      </w:r>
      <w:r w:rsidR="007A4C12" w:rsidRPr="008558F2">
        <w:rPr>
          <w:rFonts w:ascii="Arial" w:eastAsia="Times New Roman" w:hAnsi="Arial" w:cs="Arial"/>
          <w:color w:val="000000"/>
          <w:sz w:val="20"/>
          <w:szCs w:val="20"/>
        </w:rPr>
        <w:t>– T</w:t>
      </w:r>
      <w:r w:rsidRPr="008558F2">
        <w:rPr>
          <w:rFonts w:ascii="Arial" w:eastAsia="Times New Roman" w:hAnsi="Arial" w:cs="Arial"/>
          <w:color w:val="000000"/>
          <w:sz w:val="20"/>
          <w:szCs w:val="20"/>
        </w:rPr>
        <w:t>he equipment used to enable the use of electric powered vehicles (e.g., electric vehicle charging station).</w:t>
      </w:r>
      <w:r w:rsidR="00541D0E" w:rsidRPr="008558F2">
        <w:rPr>
          <w:rFonts w:ascii="Arial" w:eastAsia="Times New Roman" w:hAnsi="Arial" w:cs="Arial"/>
          <w:color w:val="000000"/>
          <w:sz w:val="20"/>
          <w:szCs w:val="20"/>
        </w:rPr>
        <w:t xml:space="preserve"> </w:t>
      </w:r>
    </w:p>
    <w:p w14:paraId="55B81DD8" w14:textId="77777777" w:rsidR="00541D0E" w:rsidRDefault="00541D0E" w:rsidP="008558F2">
      <w:pPr>
        <w:pStyle w:val="NoSpacing"/>
        <w:ind w:left="180" w:hanging="180"/>
        <w:rPr>
          <w:rFonts w:ascii="Arial" w:eastAsia="Times New Roman" w:hAnsi="Arial" w:cs="Arial"/>
          <w:color w:val="000000"/>
          <w:sz w:val="20"/>
          <w:szCs w:val="20"/>
        </w:rPr>
      </w:pPr>
    </w:p>
    <w:p w14:paraId="75060ACB" w14:textId="129F1967" w:rsidR="00541D0E" w:rsidRPr="008558F2" w:rsidRDefault="00541D0E" w:rsidP="008558F2">
      <w:pPr>
        <w:pStyle w:val="NoSpacing"/>
        <w:ind w:left="180" w:hanging="180"/>
        <w:rPr>
          <w:rFonts w:ascii="Arial" w:hAnsi="Arial" w:cs="Arial"/>
          <w:sz w:val="20"/>
          <w:szCs w:val="20"/>
        </w:rPr>
      </w:pPr>
      <w:r>
        <w:rPr>
          <w:rFonts w:ascii="Arial" w:eastAsia="Times New Roman" w:hAnsi="Arial" w:cs="Arial"/>
          <w:color w:val="000000"/>
          <w:sz w:val="20"/>
          <w:szCs w:val="20"/>
        </w:rPr>
        <w:t>Intermodal Rail Yard</w:t>
      </w:r>
      <w:r w:rsidRPr="0031285C">
        <w:rPr>
          <w:rFonts w:ascii="Arial" w:hAnsi="Arial" w:cs="Arial"/>
          <w:sz w:val="20"/>
          <w:szCs w:val="20"/>
        </w:rPr>
        <w:t>– A rail facility in which cargo is transferred from drayage truck to train or vice-versa.</w:t>
      </w:r>
    </w:p>
    <w:p w14:paraId="17771C3C" w14:textId="1A4C80BF" w:rsidR="00472DC2" w:rsidRPr="008558F2" w:rsidRDefault="00C20E4E" w:rsidP="008558F2">
      <w:pPr>
        <w:tabs>
          <w:tab w:val="left" w:pos="6900"/>
        </w:tabs>
        <w:spacing w:before="276" w:line="276" w:lineRule="exact"/>
        <w:ind w:right="72"/>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lastRenderedPageBreak/>
        <w:t xml:space="preserve">Repower </w:t>
      </w:r>
      <w:r w:rsidR="007A4C12"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 xml:space="preserve"> </w:t>
      </w:r>
      <w:r w:rsidR="007A4C12" w:rsidRPr="008558F2">
        <w:rPr>
          <w:rFonts w:ascii="Arial" w:eastAsia="Times New Roman" w:hAnsi="Arial" w:cs="Arial"/>
          <w:color w:val="000000"/>
          <w:sz w:val="20"/>
          <w:szCs w:val="20"/>
        </w:rPr>
        <w:t xml:space="preserve">To </w:t>
      </w:r>
      <w:r w:rsidRPr="008558F2">
        <w:rPr>
          <w:rFonts w:ascii="Arial" w:eastAsia="Times New Roman" w:hAnsi="Arial" w:cs="Arial"/>
          <w:color w:val="000000"/>
          <w:sz w:val="20"/>
          <w:szCs w:val="20"/>
        </w:rPr>
        <w:t xml:space="preserve">replace an existing </w:t>
      </w:r>
      <w:r w:rsidR="00472DC2" w:rsidRPr="008558F2">
        <w:rPr>
          <w:rFonts w:ascii="Arial" w:eastAsia="Times New Roman" w:hAnsi="Arial" w:cs="Arial"/>
          <w:color w:val="000000"/>
          <w:sz w:val="20"/>
          <w:szCs w:val="20"/>
        </w:rPr>
        <w:t xml:space="preserve">diesel </w:t>
      </w:r>
      <w:r w:rsidRPr="008558F2">
        <w:rPr>
          <w:rFonts w:ascii="Arial" w:eastAsia="Times New Roman" w:hAnsi="Arial" w:cs="Arial"/>
          <w:color w:val="000000"/>
          <w:sz w:val="20"/>
          <w:szCs w:val="20"/>
        </w:rPr>
        <w:t xml:space="preserve">engine </w:t>
      </w:r>
      <w:r w:rsidR="00541D0E">
        <w:rPr>
          <w:rFonts w:ascii="Arial" w:eastAsia="Times New Roman" w:hAnsi="Arial" w:cs="Arial"/>
          <w:color w:val="000000"/>
          <w:sz w:val="20"/>
          <w:szCs w:val="20"/>
        </w:rPr>
        <w:t xml:space="preserve">with </w:t>
      </w:r>
      <w:r w:rsidR="00584A26" w:rsidRPr="008558F2">
        <w:rPr>
          <w:rFonts w:ascii="Arial" w:eastAsia="Times New Roman" w:hAnsi="Arial" w:cs="Arial"/>
          <w:color w:val="000000"/>
          <w:sz w:val="20"/>
          <w:szCs w:val="20"/>
        </w:rPr>
        <w:t>All-E</w:t>
      </w:r>
      <w:r w:rsidR="00472DC2" w:rsidRPr="008558F2">
        <w:rPr>
          <w:rFonts w:ascii="Arial" w:eastAsia="Times New Roman" w:hAnsi="Arial" w:cs="Arial"/>
          <w:color w:val="000000"/>
          <w:sz w:val="20"/>
          <w:szCs w:val="20"/>
        </w:rPr>
        <w:t>lectric</w:t>
      </w:r>
      <w:r w:rsidR="008E17C1" w:rsidRPr="008558F2">
        <w:rPr>
          <w:rFonts w:ascii="Arial" w:eastAsia="Times New Roman" w:hAnsi="Arial" w:cs="Arial"/>
          <w:color w:val="000000"/>
          <w:sz w:val="20"/>
          <w:szCs w:val="20"/>
        </w:rPr>
        <w:t xml:space="preserve">. </w:t>
      </w:r>
      <w:r w:rsidR="00541D0E">
        <w:rPr>
          <w:rFonts w:ascii="Arial" w:eastAsia="Times New Roman" w:hAnsi="Arial" w:cs="Arial"/>
          <w:color w:val="000000"/>
          <w:sz w:val="20"/>
          <w:szCs w:val="20"/>
        </w:rPr>
        <w:tab/>
      </w:r>
    </w:p>
    <w:p w14:paraId="6A8976EF" w14:textId="5D301636" w:rsidR="00E5102F" w:rsidRPr="008558F2" w:rsidRDefault="00C20E4E">
      <w:pPr>
        <w:spacing w:before="278" w:line="275" w:lineRule="exact"/>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Scrapped </w:t>
      </w:r>
      <w:r w:rsidR="007A4C12" w:rsidRPr="008558F2">
        <w:rPr>
          <w:rFonts w:ascii="Arial" w:eastAsia="Times New Roman" w:hAnsi="Arial" w:cs="Arial"/>
          <w:color w:val="000000"/>
          <w:sz w:val="20"/>
          <w:szCs w:val="20"/>
        </w:rPr>
        <w:t xml:space="preserve">– To </w:t>
      </w:r>
      <w:r w:rsidRPr="008558F2">
        <w:rPr>
          <w:rFonts w:ascii="Arial" w:eastAsia="Times New Roman" w:hAnsi="Arial" w:cs="Arial"/>
          <w:color w:val="000000"/>
          <w:sz w:val="20"/>
          <w:szCs w:val="20"/>
        </w:rPr>
        <w:t>render inoperable and available for recycle, and, at a minimum, to specifically cut a 3-inch hole in the engine block for all engines. If any Eligible Vehicle will be replaced as part of an Eligible project, Scrapped shall also include the disabling of the chassis by cutting the vehicle’s frame rails completely in half.</w:t>
      </w:r>
    </w:p>
    <w:p w14:paraId="36A4AFDA" w14:textId="62498B79" w:rsidR="00E5102F" w:rsidRPr="008558F2" w:rsidRDefault="00C20E4E">
      <w:pPr>
        <w:spacing w:before="274" w:line="278" w:lineRule="exact"/>
        <w:ind w:right="144"/>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Tier 0, 1, 2, 3, 4 </w:t>
      </w:r>
      <w:r w:rsidR="007A4C12" w:rsidRPr="008558F2">
        <w:rPr>
          <w:rFonts w:ascii="Arial" w:eastAsia="Times New Roman" w:hAnsi="Arial" w:cs="Arial"/>
          <w:color w:val="000000"/>
          <w:sz w:val="20"/>
          <w:szCs w:val="20"/>
        </w:rPr>
        <w:t xml:space="preserve">– The </w:t>
      </w:r>
      <w:r w:rsidRPr="008558F2">
        <w:rPr>
          <w:rFonts w:ascii="Arial" w:eastAsia="Times New Roman" w:hAnsi="Arial" w:cs="Arial"/>
          <w:color w:val="000000"/>
          <w:sz w:val="20"/>
          <w:szCs w:val="20"/>
        </w:rPr>
        <w:t>corresponding EPA engine emission classifications for non</w:t>
      </w:r>
      <w:r w:rsidR="007A4C12"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road, locomotive, and marine engines.</w:t>
      </w:r>
    </w:p>
    <w:p w14:paraId="66FB0FCA" w14:textId="07C78016" w:rsidR="00E5102F" w:rsidRPr="008558F2" w:rsidRDefault="00C20E4E">
      <w:pPr>
        <w:spacing w:before="278" w:line="274" w:lineRule="exact"/>
        <w:ind w:right="144"/>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Tugs </w:t>
      </w:r>
      <w:r w:rsidR="007A4C12" w:rsidRPr="008558F2">
        <w:rPr>
          <w:rFonts w:ascii="Arial" w:eastAsia="Times New Roman" w:hAnsi="Arial" w:cs="Arial"/>
          <w:color w:val="000000"/>
          <w:sz w:val="20"/>
          <w:szCs w:val="20"/>
        </w:rPr>
        <w:t>–</w:t>
      </w:r>
      <w:r w:rsidRPr="008558F2">
        <w:rPr>
          <w:rFonts w:ascii="Arial" w:eastAsia="Times New Roman" w:hAnsi="Arial" w:cs="Arial"/>
          <w:color w:val="000000"/>
          <w:sz w:val="20"/>
          <w:szCs w:val="20"/>
        </w:rPr>
        <w:t xml:space="preserve"> </w:t>
      </w:r>
      <w:r w:rsidR="007A4C12" w:rsidRPr="008558F2">
        <w:rPr>
          <w:rFonts w:ascii="Arial" w:eastAsia="Times New Roman" w:hAnsi="Arial" w:cs="Arial"/>
          <w:color w:val="000000"/>
          <w:sz w:val="20"/>
          <w:szCs w:val="20"/>
        </w:rPr>
        <w:t xml:space="preserve">Dedicated </w:t>
      </w:r>
      <w:r w:rsidRPr="008558F2">
        <w:rPr>
          <w:rFonts w:ascii="Arial" w:eastAsia="Times New Roman" w:hAnsi="Arial" w:cs="Arial"/>
          <w:color w:val="000000"/>
          <w:sz w:val="20"/>
          <w:szCs w:val="20"/>
        </w:rPr>
        <w:t>vessels that push or pull other vessels in ports, harbors, and inland waterways (e.g., tugboats and towboats).</w:t>
      </w:r>
    </w:p>
    <w:p w14:paraId="4899B12B" w14:textId="0C07D206" w:rsidR="00E5102F" w:rsidRPr="008558F2" w:rsidRDefault="00C20E4E">
      <w:pPr>
        <w:spacing w:before="274" w:line="278" w:lineRule="exact"/>
        <w:ind w:right="288"/>
        <w:textAlignment w:val="baseline"/>
        <w:rPr>
          <w:rFonts w:ascii="Arial" w:eastAsia="Times New Roman" w:hAnsi="Arial" w:cs="Arial"/>
          <w:color w:val="000000"/>
          <w:sz w:val="20"/>
          <w:szCs w:val="20"/>
        </w:rPr>
      </w:pPr>
      <w:r w:rsidRPr="008558F2">
        <w:rPr>
          <w:rFonts w:ascii="Arial" w:eastAsia="Times New Roman" w:hAnsi="Arial" w:cs="Arial"/>
          <w:color w:val="000000"/>
          <w:sz w:val="20"/>
          <w:szCs w:val="20"/>
        </w:rPr>
        <w:t xml:space="preserve">Zero Emission Vehicle </w:t>
      </w:r>
      <w:r w:rsidR="007A4C12" w:rsidRPr="008558F2">
        <w:rPr>
          <w:rFonts w:ascii="Arial" w:eastAsia="Times New Roman" w:hAnsi="Arial" w:cs="Arial"/>
          <w:color w:val="000000"/>
          <w:sz w:val="20"/>
          <w:szCs w:val="20"/>
        </w:rPr>
        <w:t>–</w:t>
      </w:r>
      <w:r w:rsidR="007A4C12" w:rsidRPr="008558F2" w:rsidDel="007A4C12">
        <w:rPr>
          <w:rFonts w:ascii="Arial" w:eastAsia="Times New Roman" w:hAnsi="Arial" w:cs="Arial"/>
          <w:color w:val="000000"/>
          <w:sz w:val="20"/>
          <w:szCs w:val="20"/>
        </w:rPr>
        <w:t xml:space="preserve"> </w:t>
      </w:r>
      <w:r w:rsidR="007A4C12" w:rsidRPr="008558F2">
        <w:rPr>
          <w:rFonts w:ascii="Arial" w:eastAsia="Times New Roman" w:hAnsi="Arial" w:cs="Arial"/>
          <w:color w:val="000000"/>
          <w:sz w:val="20"/>
          <w:szCs w:val="20"/>
        </w:rPr>
        <w:t>A</w:t>
      </w:r>
      <w:r w:rsidRPr="008558F2">
        <w:rPr>
          <w:rFonts w:ascii="Arial" w:eastAsia="Times New Roman" w:hAnsi="Arial" w:cs="Arial"/>
          <w:color w:val="000000"/>
          <w:sz w:val="20"/>
          <w:szCs w:val="20"/>
        </w:rPr>
        <w:t xml:space="preserve"> vehicle that produces no emissions from the on</w:t>
      </w:r>
      <w:r w:rsidRPr="008558F2">
        <w:rPr>
          <w:rFonts w:ascii="Arial" w:eastAsia="Times New Roman" w:hAnsi="Arial" w:cs="Arial"/>
          <w:color w:val="000000"/>
          <w:sz w:val="20"/>
          <w:szCs w:val="20"/>
        </w:rPr>
        <w:softHyphen/>
        <w:t>board source of power (e.g., All-Electric or hydrogen fuel cell vehicles).</w:t>
      </w:r>
    </w:p>
    <w:sectPr w:rsidR="00E5102F" w:rsidRPr="008558F2">
      <w:headerReference w:type="default" r:id="rId7"/>
      <w:footerReference w:type="default" r:id="rId8"/>
      <w:pgSz w:w="12240" w:h="15840"/>
      <w:pgMar w:top="280" w:right="1445" w:bottom="324"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0678" w14:textId="77777777" w:rsidR="00CB318E" w:rsidRDefault="00CB318E" w:rsidP="00185CB6">
      <w:r>
        <w:separator/>
      </w:r>
    </w:p>
  </w:endnote>
  <w:endnote w:type="continuationSeparator" w:id="0">
    <w:p w14:paraId="47847FF6" w14:textId="77777777" w:rsidR="00CB318E" w:rsidRDefault="00CB318E" w:rsidP="0018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35065"/>
      <w:docPartObj>
        <w:docPartGallery w:val="Page Numbers (Bottom of Page)"/>
        <w:docPartUnique/>
      </w:docPartObj>
    </w:sdtPr>
    <w:sdtEndPr>
      <w:rPr>
        <w:noProof/>
      </w:rPr>
    </w:sdtEndPr>
    <w:sdtContent>
      <w:p w14:paraId="620A1701" w14:textId="0D94CBEF" w:rsidR="007A4C12" w:rsidRDefault="007A4C12">
        <w:pPr>
          <w:pStyle w:val="Footer"/>
          <w:jc w:val="right"/>
        </w:pPr>
        <w:r>
          <w:fldChar w:fldCharType="begin"/>
        </w:r>
        <w:r>
          <w:instrText xml:space="preserve"> PAGE   \* MERGEFORMAT </w:instrText>
        </w:r>
        <w:r>
          <w:fldChar w:fldCharType="separate"/>
        </w:r>
        <w:r w:rsidR="00CB318E">
          <w:rPr>
            <w:noProof/>
          </w:rPr>
          <w:t>1</w:t>
        </w:r>
        <w:r>
          <w:rPr>
            <w:noProof/>
          </w:rPr>
          <w:fldChar w:fldCharType="end"/>
        </w:r>
      </w:p>
    </w:sdtContent>
  </w:sdt>
  <w:p w14:paraId="1C7EBCC5" w14:textId="77777777" w:rsidR="00185CB6" w:rsidRDefault="0018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8BCA" w14:textId="77777777" w:rsidR="00CB318E" w:rsidRDefault="00CB318E" w:rsidP="00185CB6">
      <w:r>
        <w:separator/>
      </w:r>
    </w:p>
  </w:footnote>
  <w:footnote w:type="continuationSeparator" w:id="0">
    <w:p w14:paraId="1FF47AE1" w14:textId="77777777" w:rsidR="00CB318E" w:rsidRDefault="00CB318E" w:rsidP="0018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ED5E" w14:textId="77777777" w:rsidR="00305A7E" w:rsidRPr="00517483" w:rsidRDefault="00305A7E" w:rsidP="00305A7E">
    <w:pPr>
      <w:spacing w:before="3" w:line="274" w:lineRule="exact"/>
      <w:jc w:val="right"/>
      <w:textAlignment w:val="baseline"/>
      <w:rPr>
        <w:rFonts w:ascii="Arial" w:eastAsia="Times New Roman" w:hAnsi="Arial" w:cs="Arial"/>
        <w:b/>
        <w:color w:val="000000"/>
        <w:sz w:val="32"/>
        <w:szCs w:val="32"/>
      </w:rPr>
    </w:pPr>
    <w:r w:rsidRPr="00517483">
      <w:rPr>
        <w:rFonts w:ascii="Arial" w:hAnsi="Arial" w:cs="Arial"/>
        <w:noProof/>
        <w:sz w:val="32"/>
        <w:szCs w:val="32"/>
      </w:rPr>
      <w:drawing>
        <wp:anchor distT="0" distB="0" distL="114300" distR="114300" simplePos="0" relativeHeight="251659264" behindDoc="1" locked="0" layoutInCell="1" allowOverlap="1" wp14:anchorId="4EA7957B" wp14:editId="1A97F691">
          <wp:simplePos x="0" y="0"/>
          <wp:positionH relativeFrom="margin">
            <wp:posOffset>58455</wp:posOffset>
          </wp:positionH>
          <wp:positionV relativeFrom="margin">
            <wp:posOffset>-855980</wp:posOffset>
          </wp:positionV>
          <wp:extent cx="1143000" cy="539731"/>
          <wp:effectExtent l="0" t="0" r="0" b="0"/>
          <wp:wrapSquare wrapText="bothSides"/>
          <wp:docPr id="4" name="Picture 4" title="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logo banner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539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7483">
      <w:rPr>
        <w:rFonts w:ascii="Arial" w:eastAsia="Times New Roman" w:hAnsi="Arial" w:cs="Arial"/>
        <w:b/>
        <w:color w:val="000000"/>
        <w:sz w:val="32"/>
        <w:szCs w:val="32"/>
      </w:rPr>
      <w:t>Clean Air Communities Program</w:t>
    </w:r>
  </w:p>
  <w:p w14:paraId="1FDC2CD0" w14:textId="77777777" w:rsidR="00541D0E" w:rsidRPr="008558F2" w:rsidRDefault="00541D0E" w:rsidP="008558F2">
    <w:pPr>
      <w:spacing w:line="273" w:lineRule="exact"/>
      <w:jc w:val="right"/>
      <w:textAlignment w:val="baseline"/>
      <w:rPr>
        <w:rFonts w:ascii="Arial" w:eastAsia="Times New Roman" w:hAnsi="Arial" w:cs="Arial"/>
        <w:color w:val="000000"/>
        <w:spacing w:val="-1"/>
      </w:rPr>
    </w:pPr>
    <w:r w:rsidRPr="008558F2">
      <w:rPr>
        <w:rFonts w:ascii="Arial" w:eastAsia="Times New Roman" w:hAnsi="Arial" w:cs="Arial"/>
        <w:color w:val="000000"/>
        <w:spacing w:val="-1"/>
      </w:rPr>
      <w:t>Appendix B: Definitions</w:t>
    </w:r>
  </w:p>
  <w:p w14:paraId="2F8E0AC9" w14:textId="228A2B54" w:rsidR="00305A7E" w:rsidRPr="0017526D" w:rsidRDefault="00327280" w:rsidP="00305A7E">
    <w:pPr>
      <w:spacing w:before="3" w:line="274" w:lineRule="exact"/>
      <w:jc w:val="right"/>
      <w:textAlignment w:val="baseline"/>
      <w:rPr>
        <w:rFonts w:ascii="Arial" w:eastAsia="Times New Roman" w:hAnsi="Arial" w:cs="Arial"/>
        <w:color w:val="000000"/>
      </w:rPr>
    </w:pPr>
    <w:r>
      <w:rPr>
        <w:rFonts w:ascii="Arial" w:eastAsia="Times New Roman" w:hAnsi="Arial" w:cs="Arial"/>
        <w:color w:val="000000"/>
      </w:rPr>
      <w:t>October</w:t>
    </w:r>
    <w:r w:rsidR="0017526D" w:rsidRPr="0017526D">
      <w:rPr>
        <w:rFonts w:ascii="Arial" w:eastAsia="Times New Roman" w:hAnsi="Arial" w:cs="Arial"/>
        <w:color w:val="000000"/>
      </w:rPr>
      <w:t>, 2020</w:t>
    </w:r>
  </w:p>
  <w:p w14:paraId="00D2A3D6" w14:textId="1D2187E9" w:rsidR="007A4C12" w:rsidRDefault="00305A7E">
    <w:pPr>
      <w:pStyle w:val="Header"/>
    </w:pPr>
    <w:r>
      <w:rPr>
        <w:rFonts w:ascii="Arial" w:hAnsi="Arial" w:cs="Arial"/>
        <w:b/>
        <w:noProof/>
        <w:sz w:val="20"/>
        <w:szCs w:val="20"/>
      </w:rPr>
      <mc:AlternateContent>
        <mc:Choice Requires="wps">
          <w:drawing>
            <wp:inline distT="0" distB="0" distL="0" distR="0" wp14:anchorId="4346C2DF" wp14:editId="0CAECCDE">
              <wp:extent cx="5943600" cy="45719"/>
              <wp:effectExtent l="0" t="0" r="19050" b="12065"/>
              <wp:docPr id="1" name="Rectangle 1" title="Decorative"/>
              <wp:cNvGraphicFramePr/>
              <a:graphic xmlns:a="http://schemas.openxmlformats.org/drawingml/2006/main">
                <a:graphicData uri="http://schemas.microsoft.com/office/word/2010/wordprocessingShape">
                  <wps:wsp>
                    <wps:cNvSpPr/>
                    <wps:spPr>
                      <a:xfrm flipV="1">
                        <a:off x="0" y="0"/>
                        <a:ext cx="5943600" cy="45719"/>
                      </a:xfrm>
                      <a:prstGeom prst="rect">
                        <a:avLst/>
                      </a:prstGeom>
                      <a:solidFill>
                        <a:srgbClr val="00806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90C8B4" id="Rectangle 1" o:spid="_x0000_s1026" alt="Title: Decorative" style="width:468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" fillcolor="#008061" strokecolor="#1f4d78 [1604]" strokeweight="1pt">
              <w10:anchorlock/>
            </v:rect>
          </w:pict>
        </mc:Fallback>
      </mc:AlternateContent>
    </w:r>
  </w:p>
  <w:p w14:paraId="2A67A959" w14:textId="77777777" w:rsidR="00541D0E" w:rsidRDefault="00541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A3C"/>
    <w:multiLevelType w:val="multilevel"/>
    <w:tmpl w:val="E4B23EF0"/>
    <w:lvl w:ilvl="0">
      <w:start w:val="3"/>
      <w:numFmt w:val="decimal"/>
      <w:lvlText w:val="%1."/>
      <w:lvlJc w:val="left"/>
      <w:pPr>
        <w:tabs>
          <w:tab w:val="left" w:pos="225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D0185"/>
    <w:multiLevelType w:val="multilevel"/>
    <w:tmpl w:val="14CC571A"/>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B15D0"/>
    <w:multiLevelType w:val="multilevel"/>
    <w:tmpl w:val="24AEABB4"/>
    <w:lvl w:ilvl="0">
      <w:start w:val="3"/>
      <w:numFmt w:val="decimal"/>
      <w:lvlText w:val="%1."/>
      <w:lvlJc w:val="left"/>
      <w:pPr>
        <w:tabs>
          <w:tab w:val="left" w:pos="36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06FB6"/>
    <w:multiLevelType w:val="multilevel"/>
    <w:tmpl w:val="EC5E904E"/>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D754F"/>
    <w:multiLevelType w:val="multilevel"/>
    <w:tmpl w:val="6E6A6164"/>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3050A"/>
    <w:multiLevelType w:val="multilevel"/>
    <w:tmpl w:val="FB7EB5EE"/>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A159B9"/>
    <w:multiLevelType w:val="multilevel"/>
    <w:tmpl w:val="A08CC74A"/>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E3412"/>
    <w:multiLevelType w:val="multilevel"/>
    <w:tmpl w:val="AD145580"/>
    <w:lvl w:ilvl="0">
      <w:start w:val="3"/>
      <w:numFmt w:val="decimal"/>
      <w:lvlText w:val="%1."/>
      <w:lvlJc w:val="left"/>
      <w:pPr>
        <w:tabs>
          <w:tab w:val="left" w:pos="-1656"/>
        </w:tabs>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3349C"/>
    <w:multiLevelType w:val="multilevel"/>
    <w:tmpl w:val="0150C118"/>
    <w:lvl w:ilvl="0">
      <w:start w:val="1"/>
      <w:numFmt w:val="lowerLetter"/>
      <w:lvlText w:val="%1."/>
      <w:lvlJc w:val="left"/>
      <w:pPr>
        <w:tabs>
          <w:tab w:val="left" w:pos="36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5A0F20"/>
    <w:multiLevelType w:val="multilevel"/>
    <w:tmpl w:val="C5189D42"/>
    <w:lvl w:ilvl="0">
      <w:start w:val="1"/>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DF6AE9"/>
    <w:multiLevelType w:val="multilevel"/>
    <w:tmpl w:val="4F88A8F2"/>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1A15A7"/>
    <w:multiLevelType w:val="multilevel"/>
    <w:tmpl w:val="AA807EFA"/>
    <w:lvl w:ilvl="0">
      <w:start w:val="1"/>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B2B1A"/>
    <w:multiLevelType w:val="multilevel"/>
    <w:tmpl w:val="6AC439D6"/>
    <w:lvl w:ilvl="0">
      <w:start w:val="1"/>
      <w:numFmt w:val="decimal"/>
      <w:lvlText w:val="%1."/>
      <w:lvlJc w:val="left"/>
      <w:pPr>
        <w:tabs>
          <w:tab w:val="left" w:pos="360"/>
        </w:tabs>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E0345E"/>
    <w:multiLevelType w:val="multilevel"/>
    <w:tmpl w:val="531CBFC6"/>
    <w:lvl w:ilvl="0">
      <w:start w:val="1"/>
      <w:numFmt w:val="lowerLetter"/>
      <w:lvlText w:val="%1."/>
      <w:lvlJc w:val="left"/>
      <w:pPr>
        <w:tabs>
          <w:tab w:val="left" w:pos="360"/>
        </w:tabs>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8B012A"/>
    <w:multiLevelType w:val="multilevel"/>
    <w:tmpl w:val="D30CF888"/>
    <w:lvl w:ilvl="0">
      <w:start w:val="1"/>
      <w:numFmt w:val="decimal"/>
      <w:lvlText w:val="%1."/>
      <w:lvlJc w:val="left"/>
      <w:pPr>
        <w:tabs>
          <w:tab w:val="left" w:pos="360"/>
        </w:tabs>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231471"/>
    <w:multiLevelType w:val="multilevel"/>
    <w:tmpl w:val="E6644D9A"/>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7A0FA2"/>
    <w:multiLevelType w:val="multilevel"/>
    <w:tmpl w:val="C13A6FF4"/>
    <w:lvl w:ilvl="0">
      <w:start w:val="1"/>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421C5F"/>
    <w:multiLevelType w:val="multilevel"/>
    <w:tmpl w:val="56927560"/>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63ADA"/>
    <w:multiLevelType w:val="multilevel"/>
    <w:tmpl w:val="E1A40C9C"/>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48042A"/>
    <w:multiLevelType w:val="multilevel"/>
    <w:tmpl w:val="0680B50A"/>
    <w:lvl w:ilvl="0">
      <w:start w:val="1"/>
      <w:numFmt w:val="lowerLetter"/>
      <w:lvlText w:val="%1."/>
      <w:lvlJc w:val="left"/>
      <w:pPr>
        <w:tabs>
          <w:tab w:val="left" w:pos="360"/>
        </w:tabs>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AC66C3"/>
    <w:multiLevelType w:val="multilevel"/>
    <w:tmpl w:val="20025FD4"/>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025D35"/>
    <w:multiLevelType w:val="multilevel"/>
    <w:tmpl w:val="28EADD94"/>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A16ED6"/>
    <w:multiLevelType w:val="multilevel"/>
    <w:tmpl w:val="AC720B4C"/>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801EC"/>
    <w:multiLevelType w:val="multilevel"/>
    <w:tmpl w:val="D704444A"/>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1E2C43"/>
    <w:multiLevelType w:val="multilevel"/>
    <w:tmpl w:val="7D547C2A"/>
    <w:lvl w:ilvl="0">
      <w:start w:val="3"/>
      <w:numFmt w:val="decimal"/>
      <w:lvlText w:val="%1."/>
      <w:lvlJc w:val="left"/>
      <w:pPr>
        <w:tabs>
          <w:tab w:val="left" w:pos="360"/>
        </w:tabs>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7833E3"/>
    <w:multiLevelType w:val="multilevel"/>
    <w:tmpl w:val="9132A3E0"/>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BD7F26"/>
    <w:multiLevelType w:val="multilevel"/>
    <w:tmpl w:val="55725980"/>
    <w:lvl w:ilvl="0">
      <w:start w:val="5"/>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4"/>
  </w:num>
  <w:num w:numId="4">
    <w:abstractNumId w:val="17"/>
  </w:num>
  <w:num w:numId="5">
    <w:abstractNumId w:val="8"/>
  </w:num>
  <w:num w:numId="6">
    <w:abstractNumId w:val="5"/>
  </w:num>
  <w:num w:numId="7">
    <w:abstractNumId w:val="0"/>
  </w:num>
  <w:num w:numId="8">
    <w:abstractNumId w:val="23"/>
  </w:num>
  <w:num w:numId="9">
    <w:abstractNumId w:val="7"/>
  </w:num>
  <w:num w:numId="10">
    <w:abstractNumId w:val="14"/>
  </w:num>
  <w:num w:numId="11">
    <w:abstractNumId w:val="2"/>
  </w:num>
  <w:num w:numId="12">
    <w:abstractNumId w:val="12"/>
  </w:num>
  <w:num w:numId="13">
    <w:abstractNumId w:val="6"/>
  </w:num>
  <w:num w:numId="14">
    <w:abstractNumId w:val="21"/>
  </w:num>
  <w:num w:numId="15">
    <w:abstractNumId w:val="4"/>
  </w:num>
  <w:num w:numId="16">
    <w:abstractNumId w:val="19"/>
  </w:num>
  <w:num w:numId="17">
    <w:abstractNumId w:val="1"/>
  </w:num>
  <w:num w:numId="18">
    <w:abstractNumId w:val="22"/>
  </w:num>
  <w:num w:numId="19">
    <w:abstractNumId w:val="20"/>
  </w:num>
  <w:num w:numId="20">
    <w:abstractNumId w:val="16"/>
  </w:num>
  <w:num w:numId="21">
    <w:abstractNumId w:val="9"/>
  </w:num>
  <w:num w:numId="22">
    <w:abstractNumId w:val="11"/>
  </w:num>
  <w:num w:numId="23">
    <w:abstractNumId w:val="15"/>
  </w:num>
  <w:num w:numId="24">
    <w:abstractNumId w:val="13"/>
  </w:num>
  <w:num w:numId="25">
    <w:abstractNumId w:val="18"/>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2F"/>
    <w:rsid w:val="00034DCC"/>
    <w:rsid w:val="000D776B"/>
    <w:rsid w:val="00114287"/>
    <w:rsid w:val="00141BFB"/>
    <w:rsid w:val="0017526D"/>
    <w:rsid w:val="00185CB6"/>
    <w:rsid w:val="001A2AE1"/>
    <w:rsid w:val="001D21C3"/>
    <w:rsid w:val="002C438D"/>
    <w:rsid w:val="003007D7"/>
    <w:rsid w:val="00305A7E"/>
    <w:rsid w:val="00327280"/>
    <w:rsid w:val="00357CEC"/>
    <w:rsid w:val="003C28CC"/>
    <w:rsid w:val="003C63C6"/>
    <w:rsid w:val="003D70F1"/>
    <w:rsid w:val="004520FF"/>
    <w:rsid w:val="00466766"/>
    <w:rsid w:val="00472DC2"/>
    <w:rsid w:val="004755E6"/>
    <w:rsid w:val="00495676"/>
    <w:rsid w:val="004C0BA9"/>
    <w:rsid w:val="0052792B"/>
    <w:rsid w:val="00537767"/>
    <w:rsid w:val="00541D0E"/>
    <w:rsid w:val="00581E51"/>
    <w:rsid w:val="00584A26"/>
    <w:rsid w:val="005B2D0C"/>
    <w:rsid w:val="005C3397"/>
    <w:rsid w:val="005C47DF"/>
    <w:rsid w:val="00627DC4"/>
    <w:rsid w:val="0073225A"/>
    <w:rsid w:val="0075624B"/>
    <w:rsid w:val="007A4C12"/>
    <w:rsid w:val="008527AD"/>
    <w:rsid w:val="008558F2"/>
    <w:rsid w:val="00876555"/>
    <w:rsid w:val="008A0CA0"/>
    <w:rsid w:val="008A32BB"/>
    <w:rsid w:val="008E17C1"/>
    <w:rsid w:val="008F6F51"/>
    <w:rsid w:val="0094717B"/>
    <w:rsid w:val="00974411"/>
    <w:rsid w:val="00AC4F4D"/>
    <w:rsid w:val="00B36FE6"/>
    <w:rsid w:val="00BB5F34"/>
    <w:rsid w:val="00BD6CC1"/>
    <w:rsid w:val="00C20E4E"/>
    <w:rsid w:val="00C503A5"/>
    <w:rsid w:val="00CB318E"/>
    <w:rsid w:val="00D84B93"/>
    <w:rsid w:val="00E5102F"/>
    <w:rsid w:val="00E940D9"/>
    <w:rsid w:val="00EA76B3"/>
    <w:rsid w:val="00EE79E6"/>
    <w:rsid w:val="00FA1491"/>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A7C1"/>
  <w15:docId w15:val="{6141D4AA-2E06-43FA-B3D5-DA5D74E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B93"/>
    <w:pPr>
      <w:ind w:left="720"/>
      <w:contextualSpacing/>
    </w:pPr>
  </w:style>
  <w:style w:type="character" w:styleId="CommentReference">
    <w:name w:val="annotation reference"/>
    <w:basedOn w:val="DefaultParagraphFont"/>
    <w:uiPriority w:val="99"/>
    <w:semiHidden/>
    <w:unhideWhenUsed/>
    <w:rsid w:val="0052792B"/>
    <w:rPr>
      <w:sz w:val="16"/>
      <w:szCs w:val="16"/>
    </w:rPr>
  </w:style>
  <w:style w:type="paragraph" w:styleId="CommentText">
    <w:name w:val="annotation text"/>
    <w:basedOn w:val="Normal"/>
    <w:link w:val="CommentTextChar"/>
    <w:uiPriority w:val="99"/>
    <w:semiHidden/>
    <w:unhideWhenUsed/>
    <w:rsid w:val="0052792B"/>
    <w:rPr>
      <w:sz w:val="20"/>
      <w:szCs w:val="20"/>
    </w:rPr>
  </w:style>
  <w:style w:type="character" w:customStyle="1" w:styleId="CommentTextChar">
    <w:name w:val="Comment Text Char"/>
    <w:basedOn w:val="DefaultParagraphFont"/>
    <w:link w:val="CommentText"/>
    <w:uiPriority w:val="99"/>
    <w:semiHidden/>
    <w:rsid w:val="0052792B"/>
    <w:rPr>
      <w:sz w:val="20"/>
      <w:szCs w:val="20"/>
    </w:rPr>
  </w:style>
  <w:style w:type="paragraph" w:styleId="CommentSubject">
    <w:name w:val="annotation subject"/>
    <w:basedOn w:val="CommentText"/>
    <w:next w:val="CommentText"/>
    <w:link w:val="CommentSubjectChar"/>
    <w:uiPriority w:val="99"/>
    <w:semiHidden/>
    <w:unhideWhenUsed/>
    <w:rsid w:val="0052792B"/>
    <w:rPr>
      <w:b/>
      <w:bCs/>
    </w:rPr>
  </w:style>
  <w:style w:type="character" w:customStyle="1" w:styleId="CommentSubjectChar">
    <w:name w:val="Comment Subject Char"/>
    <w:basedOn w:val="CommentTextChar"/>
    <w:link w:val="CommentSubject"/>
    <w:uiPriority w:val="99"/>
    <w:semiHidden/>
    <w:rsid w:val="0052792B"/>
    <w:rPr>
      <w:b/>
      <w:bCs/>
      <w:sz w:val="20"/>
      <w:szCs w:val="20"/>
    </w:rPr>
  </w:style>
  <w:style w:type="paragraph" w:styleId="BalloonText">
    <w:name w:val="Balloon Text"/>
    <w:basedOn w:val="Normal"/>
    <w:link w:val="BalloonTextChar"/>
    <w:uiPriority w:val="99"/>
    <w:semiHidden/>
    <w:unhideWhenUsed/>
    <w:rsid w:val="0052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2B"/>
    <w:rPr>
      <w:rFonts w:ascii="Segoe UI" w:hAnsi="Segoe UI" w:cs="Segoe UI"/>
      <w:sz w:val="18"/>
      <w:szCs w:val="18"/>
    </w:rPr>
  </w:style>
  <w:style w:type="paragraph" w:styleId="Header">
    <w:name w:val="header"/>
    <w:basedOn w:val="Normal"/>
    <w:link w:val="HeaderChar"/>
    <w:uiPriority w:val="99"/>
    <w:unhideWhenUsed/>
    <w:rsid w:val="00185CB6"/>
    <w:pPr>
      <w:tabs>
        <w:tab w:val="center" w:pos="4680"/>
        <w:tab w:val="right" w:pos="9360"/>
      </w:tabs>
    </w:pPr>
  </w:style>
  <w:style w:type="character" w:customStyle="1" w:styleId="HeaderChar">
    <w:name w:val="Header Char"/>
    <w:basedOn w:val="DefaultParagraphFont"/>
    <w:link w:val="Header"/>
    <w:uiPriority w:val="99"/>
    <w:rsid w:val="00185CB6"/>
  </w:style>
  <w:style w:type="paragraph" w:styleId="Footer">
    <w:name w:val="footer"/>
    <w:basedOn w:val="Normal"/>
    <w:link w:val="FooterChar"/>
    <w:uiPriority w:val="99"/>
    <w:unhideWhenUsed/>
    <w:rsid w:val="00185CB6"/>
    <w:pPr>
      <w:tabs>
        <w:tab w:val="center" w:pos="4680"/>
        <w:tab w:val="right" w:pos="9360"/>
      </w:tabs>
    </w:pPr>
  </w:style>
  <w:style w:type="character" w:customStyle="1" w:styleId="FooterChar">
    <w:name w:val="Footer Char"/>
    <w:basedOn w:val="DefaultParagraphFont"/>
    <w:link w:val="Footer"/>
    <w:uiPriority w:val="99"/>
    <w:rsid w:val="00185CB6"/>
  </w:style>
  <w:style w:type="character" w:styleId="Hyperlink">
    <w:name w:val="Hyperlink"/>
    <w:basedOn w:val="DefaultParagraphFont"/>
    <w:uiPriority w:val="99"/>
    <w:semiHidden/>
    <w:unhideWhenUsed/>
    <w:rsid w:val="001A2AE1"/>
    <w:rPr>
      <w:color w:val="0000FF"/>
      <w:u w:val="single"/>
    </w:rPr>
  </w:style>
  <w:style w:type="paragraph" w:styleId="NoSpacing">
    <w:name w:val="No Spacing"/>
    <w:uiPriority w:val="1"/>
    <w:qFormat/>
    <w:rsid w:val="005B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9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Communities RFA Appendix B Definitions</dc:title>
  <dc:creator>Conroy, Angela (DEQ)</dc:creator>
  <cp:lastModifiedBy>Tripp, Susan (DEQ)</cp:lastModifiedBy>
  <cp:revision>3</cp:revision>
  <dcterms:created xsi:type="dcterms:W3CDTF">2020-09-29T13:35:00Z</dcterms:created>
  <dcterms:modified xsi:type="dcterms:W3CDTF">2020-10-09T16:00:00Z</dcterms:modified>
</cp:coreProperties>
</file>