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EA7B7" w14:textId="0E2EFAAA" w:rsidR="00EE639A" w:rsidRPr="00BE5147" w:rsidRDefault="00EE639A" w:rsidP="00BE5147">
      <w:pPr>
        <w:spacing w:before="3"/>
        <w:textAlignment w:val="baseline"/>
        <w:rPr>
          <w:rFonts w:ascii="Arial" w:hAnsi="Arial" w:cs="Arial"/>
          <w:sz w:val="20"/>
          <w:szCs w:val="20"/>
        </w:rPr>
      </w:pPr>
      <w:bookmarkStart w:id="0" w:name="_GoBack"/>
      <w:bookmarkEnd w:id="0"/>
      <w:r w:rsidRPr="00BE5147">
        <w:rPr>
          <w:rFonts w:ascii="Arial" w:hAnsi="Arial" w:cs="Arial"/>
          <w:sz w:val="20"/>
          <w:szCs w:val="20"/>
        </w:rPr>
        <w:t xml:space="preserve">The Virginia Department of Environmental Quality (DEQ), is now accepting applications to fund </w:t>
      </w:r>
      <w:r w:rsidR="007E76AC">
        <w:rPr>
          <w:rFonts w:ascii="Arial" w:hAnsi="Arial" w:cs="Arial"/>
          <w:sz w:val="20"/>
          <w:szCs w:val="20"/>
        </w:rPr>
        <w:t>all-electric</w:t>
      </w:r>
      <w:r w:rsidRPr="00BE5147">
        <w:rPr>
          <w:rFonts w:ascii="Arial" w:hAnsi="Arial" w:cs="Arial"/>
          <w:sz w:val="20"/>
          <w:szCs w:val="20"/>
        </w:rPr>
        <w:t xml:space="preserve"> projects through the Clean Air Communities Program (CACP). DEQ is the lead agency implementing the Volkswagen Environmental Mitigation Trust (</w:t>
      </w:r>
      <w:r w:rsidR="00526C95" w:rsidRPr="00BE5147">
        <w:rPr>
          <w:rFonts w:ascii="Arial" w:hAnsi="Arial" w:cs="Arial"/>
          <w:sz w:val="20"/>
          <w:szCs w:val="20"/>
        </w:rPr>
        <w:t xml:space="preserve">VW </w:t>
      </w:r>
      <w:r w:rsidRPr="00BE5147">
        <w:rPr>
          <w:rFonts w:ascii="Arial" w:hAnsi="Arial" w:cs="Arial"/>
          <w:sz w:val="20"/>
          <w:szCs w:val="20"/>
        </w:rPr>
        <w:t xml:space="preserve">Trust) in Virginia. </w:t>
      </w:r>
    </w:p>
    <w:p w14:paraId="47B50600" w14:textId="77777777" w:rsidR="00EE639A" w:rsidRPr="00BE5147" w:rsidRDefault="00EE639A" w:rsidP="00BE5147">
      <w:pPr>
        <w:spacing w:before="120"/>
        <w:ind w:right="576"/>
        <w:textAlignment w:val="baseline"/>
        <w:rPr>
          <w:rFonts w:ascii="Arial" w:hAnsi="Arial" w:cs="Arial"/>
          <w:sz w:val="20"/>
          <w:szCs w:val="20"/>
          <w:shd w:val="clear" w:color="auto" w:fill="FFFFFF"/>
        </w:rPr>
      </w:pPr>
      <w:r w:rsidRPr="00BE5147">
        <w:rPr>
          <w:rFonts w:ascii="Arial" w:hAnsi="Arial" w:cs="Arial"/>
          <w:sz w:val="20"/>
          <w:szCs w:val="20"/>
        </w:rPr>
        <w:t xml:space="preserve">The Trust was established following settlements </w:t>
      </w:r>
      <w:r w:rsidRPr="00BE5147">
        <w:rPr>
          <w:rFonts w:ascii="Arial" w:hAnsi="Arial" w:cs="Arial"/>
          <w:sz w:val="20"/>
          <w:szCs w:val="20"/>
          <w:shd w:val="clear" w:color="auto" w:fill="FFFFFF"/>
        </w:rPr>
        <w:t>resolving allegations that Volkswagen violated the Clean Air Act through the use of emission testing defeat devices designed to cheat on federal emissions tests. More than 16,000 excessively polluting vehicles were sold in Virginia, and produced over 2,000 tons of excess nitrogen oxides in violation of federal pollution standards.</w:t>
      </w:r>
    </w:p>
    <w:p w14:paraId="06B404C5" w14:textId="37A013D1" w:rsidR="00EE639A" w:rsidRPr="00BE5147" w:rsidRDefault="00EE639A" w:rsidP="00BE5147">
      <w:pPr>
        <w:spacing w:before="120"/>
        <w:ind w:right="576"/>
        <w:textAlignment w:val="baseline"/>
        <w:rPr>
          <w:rFonts w:ascii="Arial" w:hAnsi="Arial" w:cs="Arial"/>
          <w:sz w:val="20"/>
          <w:szCs w:val="20"/>
        </w:rPr>
      </w:pPr>
      <w:r w:rsidRPr="00BE5147">
        <w:rPr>
          <w:rFonts w:ascii="Arial" w:hAnsi="Arial" w:cs="Arial"/>
          <w:sz w:val="20"/>
          <w:szCs w:val="20"/>
        </w:rPr>
        <w:t xml:space="preserve">Through a competitive application process, </w:t>
      </w:r>
      <w:r w:rsidR="0079094B">
        <w:rPr>
          <w:rFonts w:ascii="Arial" w:hAnsi="Arial" w:cs="Arial"/>
          <w:sz w:val="20"/>
          <w:szCs w:val="20"/>
        </w:rPr>
        <w:t>DEQ</w:t>
      </w:r>
      <w:r w:rsidRPr="00BE5147">
        <w:rPr>
          <w:rFonts w:ascii="Arial" w:hAnsi="Arial" w:cs="Arial"/>
          <w:sz w:val="20"/>
          <w:szCs w:val="20"/>
        </w:rPr>
        <w:t xml:space="preserve"> will award $20 </w:t>
      </w:r>
      <w:r w:rsidR="00F26007">
        <w:rPr>
          <w:rFonts w:ascii="Arial" w:hAnsi="Arial" w:cs="Arial"/>
          <w:sz w:val="20"/>
          <w:szCs w:val="20"/>
        </w:rPr>
        <w:t xml:space="preserve">million to government entities </w:t>
      </w:r>
      <w:r w:rsidR="0079094B">
        <w:rPr>
          <w:rFonts w:ascii="Arial" w:hAnsi="Arial" w:cs="Arial"/>
          <w:sz w:val="20"/>
          <w:szCs w:val="20"/>
        </w:rPr>
        <w:t xml:space="preserve">for </w:t>
      </w:r>
      <w:r w:rsidR="0079094B" w:rsidRPr="00BE5147">
        <w:rPr>
          <w:rFonts w:ascii="Arial" w:hAnsi="Arial" w:cs="Arial"/>
          <w:sz w:val="20"/>
          <w:szCs w:val="20"/>
        </w:rPr>
        <w:t>all</w:t>
      </w:r>
      <w:r w:rsidR="007E76AC">
        <w:rPr>
          <w:rFonts w:ascii="Arial" w:hAnsi="Arial" w:cs="Arial"/>
          <w:sz w:val="20"/>
          <w:szCs w:val="20"/>
        </w:rPr>
        <w:t>-electric</w:t>
      </w:r>
      <w:r w:rsidRPr="00BE5147">
        <w:rPr>
          <w:rFonts w:ascii="Arial" w:hAnsi="Arial" w:cs="Arial"/>
          <w:sz w:val="20"/>
          <w:szCs w:val="20"/>
        </w:rPr>
        <w:t xml:space="preserve"> projects that </w:t>
      </w:r>
      <w:r w:rsidR="001E6407">
        <w:rPr>
          <w:rFonts w:ascii="Arial" w:hAnsi="Arial" w:cs="Arial"/>
          <w:sz w:val="20"/>
          <w:szCs w:val="20"/>
        </w:rPr>
        <w:t xml:space="preserve">will eliminate </w:t>
      </w:r>
      <w:r w:rsidRPr="00BE5147">
        <w:rPr>
          <w:rFonts w:ascii="Arial" w:hAnsi="Arial" w:cs="Arial"/>
          <w:sz w:val="20"/>
          <w:szCs w:val="20"/>
        </w:rPr>
        <w:t xml:space="preserve">harmful </w:t>
      </w:r>
      <w:r w:rsidR="001E6407">
        <w:rPr>
          <w:rFonts w:ascii="Arial" w:hAnsi="Arial" w:cs="Arial"/>
          <w:sz w:val="20"/>
          <w:szCs w:val="20"/>
        </w:rPr>
        <w:t xml:space="preserve">air pollutants and mitigate climate change. </w:t>
      </w:r>
    </w:p>
    <w:p w14:paraId="5A31E299" w14:textId="77777777" w:rsidR="00EE639A" w:rsidRPr="00BE5147" w:rsidRDefault="00EE639A" w:rsidP="00BE5147">
      <w:pPr>
        <w:spacing w:before="171"/>
        <w:ind w:right="576"/>
        <w:textAlignment w:val="baseline"/>
        <w:rPr>
          <w:rFonts w:ascii="Arial" w:hAnsi="Arial" w:cs="Arial"/>
          <w:b/>
          <w:color w:val="000000"/>
          <w:sz w:val="20"/>
          <w:szCs w:val="20"/>
        </w:rPr>
      </w:pPr>
      <w:r w:rsidRPr="00BE5147">
        <w:rPr>
          <w:rFonts w:ascii="Arial" w:hAnsi="Arial" w:cs="Arial"/>
          <w:b/>
          <w:color w:val="000000"/>
          <w:sz w:val="20"/>
          <w:szCs w:val="20"/>
        </w:rPr>
        <w:t>Important dates</w:t>
      </w:r>
      <w:r w:rsidRPr="00BE5147">
        <w:rPr>
          <w:rFonts w:ascii="Arial" w:hAnsi="Arial" w:cs="Arial"/>
          <w:color w:val="000000"/>
          <w:sz w:val="20"/>
          <w:szCs w:val="20"/>
        </w:rPr>
        <w:t xml:space="preserve"> </w:t>
      </w:r>
    </w:p>
    <w:p w14:paraId="46CEF56D" w14:textId="273EE8B7" w:rsidR="00EE639A" w:rsidRPr="00BE5147" w:rsidRDefault="00063859" w:rsidP="00BE5147">
      <w:pPr>
        <w:numPr>
          <w:ilvl w:val="0"/>
          <w:numId w:val="3"/>
        </w:numPr>
        <w:spacing w:before="171" w:after="200"/>
        <w:ind w:left="1008" w:right="576"/>
        <w:contextualSpacing/>
        <w:textAlignment w:val="baseline"/>
        <w:rPr>
          <w:rFonts w:ascii="Arial" w:hAnsi="Arial" w:cs="Arial"/>
          <w:color w:val="000000"/>
          <w:sz w:val="20"/>
          <w:szCs w:val="20"/>
        </w:rPr>
      </w:pPr>
      <w:r>
        <w:rPr>
          <w:rFonts w:ascii="Arial" w:hAnsi="Arial" w:cs="Arial"/>
          <w:color w:val="000000"/>
          <w:sz w:val="20"/>
          <w:szCs w:val="20"/>
        </w:rPr>
        <w:t xml:space="preserve">October </w:t>
      </w:r>
      <w:r w:rsidR="00EE639A" w:rsidRPr="00BE5147">
        <w:rPr>
          <w:rFonts w:ascii="Arial" w:hAnsi="Arial" w:cs="Arial"/>
          <w:color w:val="000000"/>
          <w:sz w:val="20"/>
          <w:szCs w:val="20"/>
        </w:rPr>
        <w:t xml:space="preserve">2020 – Application </w:t>
      </w:r>
      <w:r w:rsidR="001C22E9" w:rsidRPr="00BE5147">
        <w:rPr>
          <w:rFonts w:ascii="Arial" w:hAnsi="Arial" w:cs="Arial"/>
          <w:color w:val="000000"/>
          <w:sz w:val="20"/>
          <w:szCs w:val="20"/>
        </w:rPr>
        <w:t>period begins</w:t>
      </w:r>
      <w:r w:rsidR="00EE639A" w:rsidRPr="00BE5147">
        <w:rPr>
          <w:rFonts w:ascii="Arial" w:hAnsi="Arial" w:cs="Arial"/>
          <w:color w:val="000000"/>
          <w:sz w:val="20"/>
          <w:szCs w:val="20"/>
        </w:rPr>
        <w:t xml:space="preserve"> </w:t>
      </w:r>
    </w:p>
    <w:p w14:paraId="5A4E5F29" w14:textId="61215CD8" w:rsidR="001271E9" w:rsidRPr="00BE5147" w:rsidRDefault="001271E9" w:rsidP="001271E9">
      <w:pPr>
        <w:numPr>
          <w:ilvl w:val="0"/>
          <w:numId w:val="3"/>
        </w:numPr>
        <w:spacing w:before="171" w:after="200"/>
        <w:ind w:left="1008" w:right="576"/>
        <w:contextualSpacing/>
        <w:textAlignment w:val="baseline"/>
        <w:rPr>
          <w:rFonts w:ascii="Arial" w:hAnsi="Arial" w:cs="Arial"/>
          <w:color w:val="000000"/>
          <w:sz w:val="20"/>
          <w:szCs w:val="20"/>
        </w:rPr>
      </w:pPr>
      <w:r>
        <w:rPr>
          <w:rFonts w:ascii="Arial" w:hAnsi="Arial" w:cs="Arial"/>
          <w:color w:val="000000"/>
          <w:sz w:val="20"/>
          <w:szCs w:val="20"/>
        </w:rPr>
        <w:t>Oct</w:t>
      </w:r>
      <w:r w:rsidR="00151DDB">
        <w:rPr>
          <w:rFonts w:ascii="Arial" w:hAnsi="Arial" w:cs="Arial"/>
          <w:color w:val="000000"/>
          <w:sz w:val="20"/>
          <w:szCs w:val="20"/>
        </w:rPr>
        <w:t>ober</w:t>
      </w:r>
      <w:r>
        <w:rPr>
          <w:rFonts w:ascii="Arial" w:hAnsi="Arial" w:cs="Arial"/>
          <w:color w:val="000000"/>
          <w:sz w:val="20"/>
          <w:szCs w:val="20"/>
        </w:rPr>
        <w:t xml:space="preserve"> 21, 2020, 2</w:t>
      </w:r>
      <w:r w:rsidR="00151DDB">
        <w:rPr>
          <w:rFonts w:ascii="Arial" w:hAnsi="Arial" w:cs="Arial"/>
          <w:color w:val="000000"/>
          <w:sz w:val="20"/>
          <w:szCs w:val="20"/>
        </w:rPr>
        <w:t>:00 –</w:t>
      </w:r>
      <w:r>
        <w:rPr>
          <w:rFonts w:ascii="Arial" w:hAnsi="Arial" w:cs="Arial"/>
          <w:color w:val="000000"/>
          <w:sz w:val="20"/>
          <w:szCs w:val="20"/>
        </w:rPr>
        <w:t xml:space="preserve"> 4</w:t>
      </w:r>
      <w:r w:rsidR="00151DDB">
        <w:rPr>
          <w:rFonts w:ascii="Arial" w:hAnsi="Arial" w:cs="Arial"/>
          <w:color w:val="000000"/>
          <w:sz w:val="20"/>
          <w:szCs w:val="20"/>
        </w:rPr>
        <w:t xml:space="preserve">:00 PM; November 12, 2020, 10:00 AM – 12:00 PM </w:t>
      </w:r>
      <w:r w:rsidRPr="00BE5147">
        <w:rPr>
          <w:rFonts w:ascii="Arial" w:hAnsi="Arial" w:cs="Arial"/>
          <w:color w:val="000000"/>
          <w:sz w:val="20"/>
          <w:szCs w:val="20"/>
        </w:rPr>
        <w:t xml:space="preserve">Webinars for potential applicants (Register for the </w:t>
      </w:r>
      <w:hyperlink r:id="rId8" w:history="1">
        <w:r w:rsidRPr="002C1A25">
          <w:rPr>
            <w:rStyle w:val="Hyperlink"/>
            <w:rFonts w:ascii="Arial" w:hAnsi="Arial" w:cs="Arial"/>
            <w:sz w:val="20"/>
            <w:szCs w:val="20"/>
          </w:rPr>
          <w:t>Oct</w:t>
        </w:r>
        <w:r w:rsidR="002E55B8">
          <w:rPr>
            <w:rStyle w:val="Hyperlink"/>
            <w:rFonts w:ascii="Arial" w:hAnsi="Arial" w:cs="Arial"/>
            <w:sz w:val="20"/>
            <w:szCs w:val="20"/>
          </w:rPr>
          <w:t>ober</w:t>
        </w:r>
        <w:r w:rsidRPr="002C1A25">
          <w:rPr>
            <w:rStyle w:val="Hyperlink"/>
            <w:rFonts w:ascii="Arial" w:hAnsi="Arial" w:cs="Arial"/>
            <w:sz w:val="20"/>
            <w:szCs w:val="20"/>
          </w:rPr>
          <w:t xml:space="preserve"> 21, 2020 webinar here</w:t>
        </w:r>
      </w:hyperlink>
      <w:r w:rsidR="00151DDB">
        <w:rPr>
          <w:rFonts w:ascii="Arial" w:hAnsi="Arial" w:cs="Arial"/>
          <w:color w:val="000000"/>
          <w:sz w:val="20"/>
          <w:szCs w:val="20"/>
        </w:rPr>
        <w:t xml:space="preserve"> or the </w:t>
      </w:r>
      <w:hyperlink r:id="rId9" w:history="1">
        <w:r w:rsidR="00151DDB" w:rsidRPr="002E55B8">
          <w:rPr>
            <w:rStyle w:val="Hyperlink"/>
            <w:rFonts w:ascii="Arial" w:hAnsi="Arial" w:cs="Arial"/>
            <w:sz w:val="20"/>
            <w:szCs w:val="20"/>
          </w:rPr>
          <w:t>November 12, 2020 webinar here</w:t>
        </w:r>
      </w:hyperlink>
      <w:r w:rsidR="00151DDB">
        <w:rPr>
          <w:rFonts w:ascii="Arial" w:hAnsi="Arial" w:cs="Arial"/>
          <w:color w:val="000000"/>
          <w:sz w:val="20"/>
          <w:szCs w:val="20"/>
        </w:rPr>
        <w:t>)</w:t>
      </w:r>
    </w:p>
    <w:p w14:paraId="79B4B779" w14:textId="7F740598" w:rsidR="00EE639A" w:rsidRPr="00BE5147" w:rsidRDefault="00B64060" w:rsidP="00BE5147">
      <w:pPr>
        <w:numPr>
          <w:ilvl w:val="0"/>
          <w:numId w:val="3"/>
        </w:numPr>
        <w:spacing w:before="171" w:after="200"/>
        <w:ind w:left="1008" w:right="576"/>
        <w:contextualSpacing/>
        <w:textAlignment w:val="baseline"/>
        <w:rPr>
          <w:rFonts w:ascii="Arial" w:hAnsi="Arial" w:cs="Arial"/>
          <w:color w:val="000000"/>
          <w:sz w:val="20"/>
          <w:szCs w:val="20"/>
        </w:rPr>
      </w:pPr>
      <w:r>
        <w:rPr>
          <w:rFonts w:ascii="Arial" w:hAnsi="Arial" w:cs="Arial"/>
          <w:color w:val="000000"/>
          <w:sz w:val="20"/>
          <w:szCs w:val="20"/>
        </w:rPr>
        <w:t>Jan</w:t>
      </w:r>
      <w:r w:rsidR="002E55B8">
        <w:rPr>
          <w:rFonts w:ascii="Arial" w:hAnsi="Arial" w:cs="Arial"/>
          <w:color w:val="000000"/>
          <w:sz w:val="20"/>
          <w:szCs w:val="20"/>
        </w:rPr>
        <w:t>uary</w:t>
      </w:r>
      <w:r w:rsidR="00B92DBF" w:rsidRPr="00BE5147">
        <w:rPr>
          <w:rFonts w:ascii="Arial" w:hAnsi="Arial" w:cs="Arial"/>
          <w:color w:val="000000"/>
          <w:sz w:val="20"/>
          <w:szCs w:val="20"/>
        </w:rPr>
        <w:t xml:space="preserve"> 1</w:t>
      </w:r>
      <w:r>
        <w:rPr>
          <w:rFonts w:ascii="Arial" w:hAnsi="Arial" w:cs="Arial"/>
          <w:color w:val="000000"/>
          <w:sz w:val="20"/>
          <w:szCs w:val="20"/>
        </w:rPr>
        <w:t>1</w:t>
      </w:r>
      <w:r w:rsidR="00741FFD">
        <w:rPr>
          <w:rFonts w:ascii="Arial" w:hAnsi="Arial" w:cs="Arial"/>
          <w:color w:val="000000"/>
          <w:sz w:val="20"/>
          <w:szCs w:val="20"/>
        </w:rPr>
        <w:t>, 202</w:t>
      </w:r>
      <w:r>
        <w:rPr>
          <w:rFonts w:ascii="Arial" w:hAnsi="Arial" w:cs="Arial"/>
          <w:color w:val="000000"/>
          <w:sz w:val="20"/>
          <w:szCs w:val="20"/>
        </w:rPr>
        <w:t>1</w:t>
      </w:r>
      <w:r w:rsidR="00741FFD">
        <w:rPr>
          <w:rFonts w:ascii="Arial" w:hAnsi="Arial" w:cs="Arial"/>
          <w:color w:val="000000"/>
          <w:sz w:val="20"/>
          <w:szCs w:val="20"/>
        </w:rPr>
        <w:t xml:space="preserve"> </w:t>
      </w:r>
      <w:r w:rsidR="00EE639A" w:rsidRPr="00BE5147">
        <w:rPr>
          <w:rFonts w:ascii="Arial" w:hAnsi="Arial" w:cs="Arial"/>
          <w:color w:val="000000"/>
          <w:sz w:val="20"/>
          <w:szCs w:val="20"/>
        </w:rPr>
        <w:t>– Application deadline</w:t>
      </w:r>
    </w:p>
    <w:p w14:paraId="24EFA8DA" w14:textId="44C431EE" w:rsidR="00EE639A" w:rsidRPr="00BE5147" w:rsidRDefault="00B64060" w:rsidP="00BE5147">
      <w:pPr>
        <w:numPr>
          <w:ilvl w:val="0"/>
          <w:numId w:val="3"/>
        </w:numPr>
        <w:spacing w:before="171" w:after="200"/>
        <w:ind w:left="1008" w:right="576"/>
        <w:contextualSpacing/>
        <w:textAlignment w:val="baseline"/>
        <w:rPr>
          <w:rFonts w:ascii="Arial" w:hAnsi="Arial" w:cs="Arial"/>
          <w:color w:val="000000"/>
          <w:sz w:val="20"/>
          <w:szCs w:val="20"/>
        </w:rPr>
      </w:pPr>
      <w:r>
        <w:rPr>
          <w:rFonts w:ascii="Arial" w:hAnsi="Arial" w:cs="Arial"/>
          <w:color w:val="000000"/>
          <w:sz w:val="20"/>
          <w:szCs w:val="20"/>
        </w:rPr>
        <w:t>M</w:t>
      </w:r>
      <w:r w:rsidR="007958BD">
        <w:rPr>
          <w:rFonts w:ascii="Arial" w:hAnsi="Arial" w:cs="Arial"/>
          <w:color w:val="000000"/>
          <w:sz w:val="20"/>
          <w:szCs w:val="20"/>
        </w:rPr>
        <w:t>arch</w:t>
      </w:r>
      <w:r w:rsidR="00B92DBF" w:rsidRPr="00BE5147">
        <w:rPr>
          <w:rFonts w:ascii="Arial" w:hAnsi="Arial" w:cs="Arial"/>
          <w:color w:val="000000"/>
          <w:sz w:val="20"/>
          <w:szCs w:val="20"/>
        </w:rPr>
        <w:t xml:space="preserve"> 2021</w:t>
      </w:r>
      <w:r w:rsidR="00EE639A" w:rsidRPr="00BE5147">
        <w:rPr>
          <w:rFonts w:ascii="Arial" w:hAnsi="Arial" w:cs="Arial"/>
          <w:color w:val="000000"/>
          <w:sz w:val="20"/>
          <w:szCs w:val="20"/>
        </w:rPr>
        <w:t xml:space="preserve"> – Awards announced</w:t>
      </w:r>
    </w:p>
    <w:p w14:paraId="0B121535" w14:textId="77777777" w:rsidR="00C22F1E" w:rsidRPr="00BE5147" w:rsidRDefault="00C22F1E" w:rsidP="00BE5147">
      <w:pPr>
        <w:spacing w:before="171"/>
        <w:ind w:right="576"/>
        <w:textAlignment w:val="baseline"/>
        <w:rPr>
          <w:rFonts w:ascii="Arial" w:hAnsi="Arial" w:cs="Arial"/>
          <w:b/>
          <w:color w:val="000000"/>
          <w:sz w:val="20"/>
          <w:szCs w:val="20"/>
        </w:rPr>
      </w:pPr>
    </w:p>
    <w:p w14:paraId="7AF34204" w14:textId="5BC2852D" w:rsidR="0062645C" w:rsidRDefault="00EE639A" w:rsidP="00BE5147">
      <w:pPr>
        <w:textAlignment w:val="baseline"/>
        <w:rPr>
          <w:rFonts w:ascii="Arial" w:eastAsia="PMingLiU" w:hAnsi="Arial" w:cs="Arial"/>
          <w:sz w:val="20"/>
          <w:szCs w:val="20"/>
        </w:rPr>
      </w:pPr>
      <w:r w:rsidRPr="00BE5147">
        <w:rPr>
          <w:rFonts w:ascii="Arial" w:hAnsi="Arial" w:cs="Arial"/>
          <w:color w:val="000000"/>
          <w:sz w:val="20"/>
          <w:szCs w:val="20"/>
        </w:rPr>
        <w:t xml:space="preserve">Note that DEQ reserves the right to adjust the dates listed above, if necessary. </w:t>
      </w:r>
    </w:p>
    <w:p w14:paraId="34DE9F6B" w14:textId="77777777" w:rsidR="002D64C4" w:rsidRPr="00BE5147" w:rsidRDefault="002D64C4" w:rsidP="00BE5147">
      <w:pPr>
        <w:textAlignment w:val="baseline"/>
        <w:rPr>
          <w:rFonts w:ascii="Arial" w:eastAsia="PMingLiU" w:hAnsi="Arial" w:cs="Arial"/>
          <w:sz w:val="20"/>
          <w:szCs w:val="20"/>
        </w:rPr>
      </w:pPr>
    </w:p>
    <w:p w14:paraId="58AB57FB" w14:textId="317E25F8" w:rsidR="0062645C" w:rsidRPr="00BE5147" w:rsidRDefault="0062645C" w:rsidP="00BE5147">
      <w:pPr>
        <w:pStyle w:val="NormalWeb"/>
        <w:shd w:val="clear" w:color="auto" w:fill="FFFFFF"/>
        <w:spacing w:before="0" w:beforeAutospacing="0" w:after="300" w:afterAutospacing="0"/>
        <w:textAlignment w:val="baseline"/>
        <w:rPr>
          <w:rFonts w:ascii="Arial" w:hAnsi="Arial" w:cs="Arial"/>
          <w:color w:val="000000"/>
          <w:sz w:val="20"/>
          <w:szCs w:val="20"/>
        </w:rPr>
      </w:pPr>
      <w:r w:rsidRPr="00BE5147">
        <w:rPr>
          <w:rFonts w:ascii="Arial" w:hAnsi="Arial" w:cs="Arial"/>
          <w:color w:val="000000"/>
          <w:sz w:val="20"/>
          <w:szCs w:val="20"/>
        </w:rPr>
        <w:t xml:space="preserve">This CACP Request for Applications provides an overview of the application timeline and process, information on eligibility and program funding requirements, project selection criteria, and instructions on how to apply. The application template, required and supporting documents </w:t>
      </w:r>
      <w:r w:rsidR="00620BDF">
        <w:rPr>
          <w:rFonts w:ascii="Arial" w:hAnsi="Arial" w:cs="Arial"/>
          <w:color w:val="000000"/>
          <w:sz w:val="20"/>
          <w:szCs w:val="20"/>
        </w:rPr>
        <w:t>listed below as appendices</w:t>
      </w:r>
      <w:r w:rsidRPr="00BE5147">
        <w:rPr>
          <w:rFonts w:ascii="Arial" w:hAnsi="Arial" w:cs="Arial"/>
          <w:color w:val="000000"/>
          <w:sz w:val="20"/>
          <w:szCs w:val="20"/>
        </w:rPr>
        <w:t xml:space="preserve"> </w:t>
      </w:r>
      <w:r w:rsidR="00620BDF">
        <w:rPr>
          <w:rFonts w:ascii="Arial" w:hAnsi="Arial" w:cs="Arial"/>
          <w:color w:val="000000"/>
          <w:sz w:val="20"/>
          <w:szCs w:val="20"/>
        </w:rPr>
        <w:t xml:space="preserve">are available on DEQ’s </w:t>
      </w:r>
      <w:hyperlink r:id="rId10" w:history="1">
        <w:r w:rsidR="00620BDF" w:rsidRPr="003024EC">
          <w:rPr>
            <w:rStyle w:val="Hyperlink"/>
            <w:rFonts w:ascii="Arial" w:hAnsi="Arial" w:cs="Arial"/>
            <w:sz w:val="20"/>
            <w:szCs w:val="20"/>
          </w:rPr>
          <w:t>VW webpage</w:t>
        </w:r>
      </w:hyperlink>
      <w:r w:rsidR="00620BDF">
        <w:rPr>
          <w:rFonts w:ascii="Arial" w:hAnsi="Arial" w:cs="Arial"/>
          <w:color w:val="000000"/>
          <w:sz w:val="20"/>
          <w:szCs w:val="20"/>
        </w:rPr>
        <w:t>:</w:t>
      </w:r>
    </w:p>
    <w:p w14:paraId="405B20EF" w14:textId="316B2077" w:rsidR="0062645C" w:rsidRPr="00BE5147" w:rsidRDefault="0062645C" w:rsidP="00BE5147">
      <w:pPr>
        <w:shd w:val="clear" w:color="auto" w:fill="FFFFFF"/>
        <w:ind w:left="720"/>
        <w:rPr>
          <w:rFonts w:ascii="Calibri" w:hAnsi="Calibri" w:cs="Calibri"/>
          <w:color w:val="222222"/>
          <w:sz w:val="22"/>
          <w:szCs w:val="22"/>
        </w:rPr>
      </w:pPr>
      <w:r w:rsidRPr="00BE5147">
        <w:rPr>
          <w:rFonts w:ascii="Arial" w:hAnsi="Arial" w:cs="Arial"/>
          <w:color w:val="000000"/>
          <w:sz w:val="20"/>
          <w:szCs w:val="20"/>
        </w:rPr>
        <w:t>Appendix A: Clean Air Communities Program Application Template</w:t>
      </w:r>
    </w:p>
    <w:p w14:paraId="030B481F" w14:textId="77777777" w:rsidR="0062645C" w:rsidRPr="00BE5147" w:rsidRDefault="0062645C" w:rsidP="00BE5147">
      <w:pPr>
        <w:shd w:val="clear" w:color="auto" w:fill="FFFFFF"/>
        <w:ind w:left="720"/>
        <w:rPr>
          <w:rFonts w:ascii="Calibri" w:hAnsi="Calibri" w:cs="Calibri"/>
          <w:color w:val="222222"/>
          <w:sz w:val="22"/>
          <w:szCs w:val="22"/>
        </w:rPr>
      </w:pPr>
      <w:r w:rsidRPr="00BE5147">
        <w:rPr>
          <w:rFonts w:ascii="Arial" w:hAnsi="Arial" w:cs="Arial"/>
          <w:color w:val="000000"/>
          <w:sz w:val="20"/>
          <w:szCs w:val="20"/>
        </w:rPr>
        <w:t>Appendix B: Definitions</w:t>
      </w:r>
    </w:p>
    <w:p w14:paraId="62DA71D3" w14:textId="1D249368" w:rsidR="0062645C" w:rsidRPr="00BE5147" w:rsidRDefault="0062645C" w:rsidP="00BE5147">
      <w:pPr>
        <w:shd w:val="clear" w:color="auto" w:fill="FFFFFF"/>
        <w:ind w:left="720"/>
        <w:rPr>
          <w:rFonts w:ascii="Calibri" w:hAnsi="Calibri" w:cs="Calibri"/>
          <w:color w:val="222222"/>
          <w:sz w:val="22"/>
          <w:szCs w:val="22"/>
        </w:rPr>
      </w:pPr>
      <w:r w:rsidRPr="00BE5147">
        <w:rPr>
          <w:rFonts w:ascii="Arial" w:hAnsi="Arial" w:cs="Arial"/>
          <w:color w:val="000000"/>
          <w:sz w:val="20"/>
          <w:szCs w:val="20"/>
        </w:rPr>
        <w:t>Appendix C: Fleet Data Spreadsheet  </w:t>
      </w:r>
    </w:p>
    <w:p w14:paraId="714D9E11" w14:textId="77777777" w:rsidR="0062645C" w:rsidRPr="00BE5147" w:rsidRDefault="0062645C" w:rsidP="00BE5147">
      <w:pPr>
        <w:shd w:val="clear" w:color="auto" w:fill="FFFFFF"/>
        <w:ind w:left="720"/>
        <w:rPr>
          <w:rFonts w:ascii="Calibri" w:hAnsi="Calibri" w:cs="Calibri"/>
          <w:color w:val="222222"/>
          <w:sz w:val="22"/>
          <w:szCs w:val="22"/>
        </w:rPr>
      </w:pPr>
      <w:r w:rsidRPr="00BE5147">
        <w:rPr>
          <w:rFonts w:ascii="Arial" w:hAnsi="Arial" w:cs="Arial"/>
          <w:color w:val="000000"/>
          <w:sz w:val="20"/>
          <w:szCs w:val="20"/>
        </w:rPr>
        <w:t>Appendix D: General Terms &amp; Conditions of State Funded Grant Contracts</w:t>
      </w:r>
    </w:p>
    <w:p w14:paraId="20781547" w14:textId="4F26F38E" w:rsidR="000C1EE6" w:rsidRDefault="0062645C" w:rsidP="00BE5147">
      <w:pPr>
        <w:shd w:val="clear" w:color="auto" w:fill="FFFFFF"/>
        <w:ind w:left="720"/>
        <w:rPr>
          <w:rFonts w:ascii="Arial" w:hAnsi="Arial" w:cs="Arial"/>
          <w:color w:val="000000"/>
          <w:sz w:val="20"/>
          <w:szCs w:val="20"/>
        </w:rPr>
      </w:pPr>
      <w:r w:rsidRPr="008C1465">
        <w:rPr>
          <w:rFonts w:ascii="Arial" w:hAnsi="Arial" w:cs="Arial"/>
          <w:color w:val="000000"/>
          <w:sz w:val="20"/>
          <w:szCs w:val="20"/>
        </w:rPr>
        <w:t xml:space="preserve">Appendix E: </w:t>
      </w:r>
      <w:r w:rsidR="008C1465" w:rsidRPr="008C1465">
        <w:rPr>
          <w:rFonts w:ascii="Arial" w:hAnsi="Arial" w:cs="Arial"/>
          <w:color w:val="000000"/>
          <w:sz w:val="20"/>
          <w:szCs w:val="20"/>
        </w:rPr>
        <w:t>Priority</w:t>
      </w:r>
      <w:r w:rsidRPr="008C1465">
        <w:rPr>
          <w:rFonts w:ascii="Arial" w:hAnsi="Arial" w:cs="Arial"/>
          <w:color w:val="000000"/>
          <w:sz w:val="20"/>
          <w:szCs w:val="20"/>
        </w:rPr>
        <w:t xml:space="preserve"> Areas</w:t>
      </w:r>
    </w:p>
    <w:p w14:paraId="245A711E" w14:textId="172193A5" w:rsidR="00E81BDC" w:rsidRPr="00E81BDC" w:rsidRDefault="00E81BDC" w:rsidP="00BE5147">
      <w:pPr>
        <w:shd w:val="clear" w:color="auto" w:fill="FFFFFF"/>
        <w:ind w:left="720"/>
        <w:rPr>
          <w:rFonts w:ascii="Calibri" w:hAnsi="Calibri" w:cs="Calibri"/>
          <w:color w:val="FF0000"/>
          <w:sz w:val="22"/>
          <w:szCs w:val="22"/>
        </w:rPr>
      </w:pPr>
      <w:r w:rsidRPr="002047EC">
        <w:rPr>
          <w:rFonts w:ascii="Arial" w:hAnsi="Arial" w:cs="Arial"/>
          <w:color w:val="C00000"/>
          <w:sz w:val="20"/>
          <w:szCs w:val="20"/>
        </w:rPr>
        <w:t xml:space="preserve">Appendix F: Statement of Certification </w:t>
      </w:r>
    </w:p>
    <w:p w14:paraId="776D8EBD" w14:textId="780A559C" w:rsidR="00C744FB" w:rsidRPr="00BE5147" w:rsidRDefault="00C744FB" w:rsidP="00BE5147">
      <w:pPr>
        <w:spacing w:before="171"/>
        <w:ind w:right="576"/>
        <w:textAlignment w:val="baseline"/>
        <w:rPr>
          <w:rFonts w:ascii="Arial" w:hAnsi="Arial" w:cs="Arial"/>
          <w:b/>
          <w:color w:val="000000"/>
          <w:szCs w:val="20"/>
        </w:rPr>
      </w:pPr>
      <w:r w:rsidRPr="00BE5147">
        <w:rPr>
          <w:rFonts w:ascii="Arial" w:hAnsi="Arial" w:cs="Arial"/>
          <w:b/>
          <w:color w:val="000000"/>
          <w:szCs w:val="20"/>
        </w:rPr>
        <w:t xml:space="preserve">Program </w:t>
      </w:r>
      <w:r w:rsidR="00701851" w:rsidRPr="00BE5147">
        <w:rPr>
          <w:rFonts w:ascii="Arial" w:hAnsi="Arial" w:cs="Arial"/>
          <w:b/>
          <w:color w:val="000000"/>
          <w:szCs w:val="20"/>
        </w:rPr>
        <w:t>Eligibility and General Requirements</w:t>
      </w:r>
    </w:p>
    <w:p w14:paraId="4109EBDC" w14:textId="77777777" w:rsidR="00C744FB" w:rsidRPr="00BE5147" w:rsidRDefault="00C744FB" w:rsidP="00BE5147">
      <w:pPr>
        <w:spacing w:before="171"/>
        <w:ind w:right="576"/>
        <w:textAlignment w:val="baseline"/>
        <w:rPr>
          <w:rFonts w:ascii="Arial" w:hAnsi="Arial" w:cs="Arial"/>
          <w:b/>
          <w:color w:val="000000"/>
          <w:sz w:val="20"/>
          <w:szCs w:val="20"/>
        </w:rPr>
      </w:pPr>
      <w:r w:rsidRPr="00BE5147">
        <w:rPr>
          <w:rFonts w:ascii="Arial" w:hAnsi="Arial" w:cs="Arial"/>
          <w:b/>
          <w:color w:val="000000"/>
          <w:sz w:val="20"/>
          <w:szCs w:val="20"/>
        </w:rPr>
        <w:t>Eligible Applicants</w:t>
      </w:r>
    </w:p>
    <w:p w14:paraId="34AA32DC" w14:textId="724112A9" w:rsidR="00C744FB" w:rsidRPr="00BE5147" w:rsidRDefault="00C744FB">
      <w:pPr>
        <w:rPr>
          <w:rFonts w:ascii="Arial" w:hAnsi="Arial" w:cs="Arial"/>
          <w:b/>
          <w:color w:val="000000"/>
          <w:sz w:val="20"/>
          <w:szCs w:val="20"/>
        </w:rPr>
      </w:pPr>
      <w:r w:rsidRPr="00BE5147">
        <w:rPr>
          <w:rFonts w:ascii="Arial" w:hAnsi="Arial" w:cs="Arial"/>
          <w:color w:val="000000"/>
          <w:sz w:val="20"/>
          <w:szCs w:val="20"/>
        </w:rPr>
        <w:t>Applicant must be a state or local government agency</w:t>
      </w:r>
      <w:r w:rsidR="00EE639A" w:rsidRPr="00BE5147">
        <w:rPr>
          <w:rFonts w:ascii="Arial" w:hAnsi="Arial" w:cs="Arial"/>
          <w:color w:val="000000"/>
          <w:sz w:val="20"/>
          <w:szCs w:val="20"/>
        </w:rPr>
        <w:t xml:space="preserve"> </w:t>
      </w:r>
      <w:r w:rsidRPr="00BE5147">
        <w:rPr>
          <w:rFonts w:ascii="Arial" w:hAnsi="Arial" w:cs="Arial"/>
          <w:color w:val="000000"/>
          <w:sz w:val="20"/>
          <w:szCs w:val="20"/>
        </w:rPr>
        <w:t xml:space="preserve">or a tribal government or native village in order to be eligible to apply for CACP funds. </w:t>
      </w:r>
      <w:r w:rsidR="00EE639A" w:rsidRPr="00BE5147">
        <w:rPr>
          <w:rFonts w:ascii="Arial" w:hAnsi="Arial" w:cs="Arial"/>
          <w:color w:val="000000"/>
          <w:sz w:val="20"/>
          <w:szCs w:val="20"/>
        </w:rPr>
        <w:t xml:space="preserve">Government agencies include: school districts, municipalities, cities, counties, special districts, transit districts, joint powers authorities, or </w:t>
      </w:r>
      <w:r w:rsidR="00BD47D7">
        <w:rPr>
          <w:rFonts w:ascii="Arial" w:hAnsi="Arial" w:cs="Arial"/>
          <w:color w:val="000000"/>
          <w:sz w:val="20"/>
          <w:szCs w:val="20"/>
        </w:rPr>
        <w:t>port authorities.</w:t>
      </w:r>
    </w:p>
    <w:p w14:paraId="00F45C45" w14:textId="77777777" w:rsidR="00076806" w:rsidRPr="00BE5147" w:rsidRDefault="00076806">
      <w:pPr>
        <w:autoSpaceDE w:val="0"/>
        <w:autoSpaceDN w:val="0"/>
        <w:adjustRightInd w:val="0"/>
        <w:rPr>
          <w:rFonts w:ascii="Arial" w:hAnsi="Arial" w:cs="Arial"/>
          <w:b/>
          <w:color w:val="000000"/>
          <w:sz w:val="20"/>
          <w:szCs w:val="20"/>
        </w:rPr>
      </w:pPr>
    </w:p>
    <w:p w14:paraId="07C26D60" w14:textId="3ECFEC51" w:rsidR="00C744FB" w:rsidRPr="00BE5147" w:rsidRDefault="00526C95">
      <w:pPr>
        <w:autoSpaceDE w:val="0"/>
        <w:autoSpaceDN w:val="0"/>
        <w:adjustRightInd w:val="0"/>
        <w:rPr>
          <w:rFonts w:ascii="Arial" w:eastAsia="PMingLiU" w:hAnsi="Arial" w:cs="Arial"/>
          <w:b/>
          <w:bCs/>
          <w:sz w:val="20"/>
          <w:szCs w:val="20"/>
        </w:rPr>
      </w:pPr>
      <w:r w:rsidRPr="00BE5147">
        <w:rPr>
          <w:rFonts w:ascii="Arial" w:eastAsia="PMingLiU" w:hAnsi="Arial" w:cs="Arial"/>
          <w:b/>
          <w:bCs/>
          <w:sz w:val="20"/>
          <w:szCs w:val="20"/>
        </w:rPr>
        <w:t xml:space="preserve">Project Eligibility and Reimbursement Rates </w:t>
      </w:r>
      <w:r w:rsidR="00C744FB" w:rsidRPr="00BE5147">
        <w:rPr>
          <w:rFonts w:ascii="Arial" w:eastAsia="PMingLiU" w:hAnsi="Arial" w:cs="Arial"/>
          <w:bCs/>
          <w:sz w:val="20"/>
          <w:szCs w:val="20"/>
        </w:rPr>
        <w:t xml:space="preserve">(see </w:t>
      </w:r>
      <w:r w:rsidR="00C744FB" w:rsidRPr="00BE5147">
        <w:rPr>
          <w:rFonts w:ascii="Arial" w:eastAsia="PMingLiU" w:hAnsi="Arial" w:cs="Arial"/>
          <w:color w:val="000000"/>
          <w:sz w:val="20"/>
          <w:szCs w:val="20"/>
        </w:rPr>
        <w:t xml:space="preserve">Appendix </w:t>
      </w:r>
      <w:r w:rsidR="00D1298F" w:rsidRPr="00BE5147">
        <w:rPr>
          <w:rFonts w:ascii="Arial" w:eastAsia="PMingLiU" w:hAnsi="Arial" w:cs="Arial"/>
          <w:color w:val="000000"/>
          <w:sz w:val="20"/>
          <w:szCs w:val="20"/>
        </w:rPr>
        <w:t>B</w:t>
      </w:r>
      <w:r w:rsidR="00C744FB" w:rsidRPr="00BE5147">
        <w:rPr>
          <w:rFonts w:ascii="Arial" w:eastAsia="PMingLiU" w:hAnsi="Arial" w:cs="Arial"/>
          <w:color w:val="000000"/>
          <w:sz w:val="20"/>
          <w:szCs w:val="20"/>
        </w:rPr>
        <w:t>: Definitions)</w:t>
      </w:r>
    </w:p>
    <w:tbl>
      <w:tblPr>
        <w:tblStyle w:val="TableGrid"/>
        <w:tblW w:w="9642" w:type="dxa"/>
        <w:tblLook w:val="04A0" w:firstRow="1" w:lastRow="0" w:firstColumn="1" w:lastColumn="0" w:noHBand="0" w:noVBand="1"/>
        <w:tblCaption w:val="Project Eligibility and Reimbursement Rates"/>
        <w:tblDescription w:val="This table describes the types of projects that are available for Clean Air Communities Program funding."/>
      </w:tblPr>
      <w:tblGrid>
        <w:gridCol w:w="2515"/>
        <w:gridCol w:w="1460"/>
        <w:gridCol w:w="3508"/>
        <w:gridCol w:w="2159"/>
      </w:tblGrid>
      <w:tr w:rsidR="00526C95" w:rsidRPr="00BE5147" w14:paraId="5D4D5941" w14:textId="77777777" w:rsidTr="00330BEE">
        <w:trPr>
          <w:trHeight w:hRule="exact" w:val="432"/>
          <w:tblHeader/>
        </w:trPr>
        <w:tc>
          <w:tcPr>
            <w:tcW w:w="2515" w:type="dxa"/>
            <w:shd w:val="clear" w:color="auto" w:fill="DEEAF6" w:themeFill="accent1" w:themeFillTint="33"/>
          </w:tcPr>
          <w:p w14:paraId="74F71A1A" w14:textId="77777777" w:rsidR="00526C95" w:rsidRPr="00BE5147" w:rsidRDefault="00526C95" w:rsidP="00526C95">
            <w:pPr>
              <w:tabs>
                <w:tab w:val="right" w:pos="2462"/>
              </w:tabs>
              <w:spacing w:before="48" w:after="551" w:line="274" w:lineRule="exact"/>
              <w:textAlignment w:val="baseline"/>
              <w:rPr>
                <w:rFonts w:ascii="Arial" w:hAnsi="Arial" w:cs="Arial"/>
                <w:b/>
                <w:color w:val="000000"/>
                <w:sz w:val="20"/>
                <w:szCs w:val="20"/>
              </w:rPr>
            </w:pPr>
            <w:r w:rsidRPr="00BE5147">
              <w:rPr>
                <w:rFonts w:ascii="Arial" w:hAnsi="Arial" w:cs="Arial"/>
                <w:b/>
                <w:color w:val="000000"/>
                <w:sz w:val="20"/>
                <w:szCs w:val="20"/>
              </w:rPr>
              <w:t>Eligible Project</w:t>
            </w:r>
          </w:p>
        </w:tc>
        <w:tc>
          <w:tcPr>
            <w:tcW w:w="1460" w:type="dxa"/>
            <w:shd w:val="clear" w:color="auto" w:fill="DEEAF6" w:themeFill="accent1" w:themeFillTint="33"/>
          </w:tcPr>
          <w:p w14:paraId="46B15314" w14:textId="77777777" w:rsidR="00526C95" w:rsidRPr="00BE5147" w:rsidRDefault="00526C95" w:rsidP="00526C95">
            <w:pPr>
              <w:spacing w:before="48" w:after="551" w:line="274" w:lineRule="exact"/>
              <w:textAlignment w:val="baseline"/>
              <w:rPr>
                <w:rFonts w:ascii="Arial" w:hAnsi="Arial" w:cs="Arial"/>
                <w:b/>
                <w:color w:val="000000"/>
                <w:sz w:val="20"/>
                <w:szCs w:val="20"/>
              </w:rPr>
            </w:pPr>
            <w:r w:rsidRPr="00BE5147">
              <w:rPr>
                <w:rFonts w:ascii="Arial" w:hAnsi="Arial" w:cs="Arial"/>
                <w:b/>
                <w:color w:val="000000"/>
                <w:sz w:val="20"/>
                <w:szCs w:val="20"/>
              </w:rPr>
              <w:t>Type</w:t>
            </w:r>
          </w:p>
        </w:tc>
        <w:tc>
          <w:tcPr>
            <w:tcW w:w="3508" w:type="dxa"/>
            <w:shd w:val="clear" w:color="auto" w:fill="DEEAF6" w:themeFill="accent1" w:themeFillTint="33"/>
          </w:tcPr>
          <w:p w14:paraId="1BCCF505" w14:textId="77777777" w:rsidR="00526C95" w:rsidRPr="00BE5147" w:rsidRDefault="00526C95" w:rsidP="00526C95">
            <w:pPr>
              <w:spacing w:before="46" w:line="275" w:lineRule="exact"/>
              <w:textAlignment w:val="baseline"/>
              <w:rPr>
                <w:rFonts w:ascii="Arial" w:hAnsi="Arial" w:cs="Arial"/>
                <w:b/>
                <w:color w:val="000000"/>
                <w:sz w:val="20"/>
                <w:szCs w:val="20"/>
              </w:rPr>
            </w:pPr>
            <w:r w:rsidRPr="00BE5147">
              <w:rPr>
                <w:rFonts w:ascii="Arial" w:hAnsi="Arial" w:cs="Arial"/>
                <w:b/>
                <w:color w:val="000000"/>
                <w:sz w:val="20"/>
                <w:szCs w:val="20"/>
              </w:rPr>
              <w:t>Eligibility</w:t>
            </w:r>
          </w:p>
        </w:tc>
        <w:tc>
          <w:tcPr>
            <w:tcW w:w="2159" w:type="dxa"/>
            <w:shd w:val="clear" w:color="auto" w:fill="DEEAF6" w:themeFill="accent1" w:themeFillTint="33"/>
          </w:tcPr>
          <w:p w14:paraId="20E0709F" w14:textId="77777777" w:rsidR="00526C95" w:rsidRPr="00BE5147" w:rsidRDefault="00526C95" w:rsidP="00526C95">
            <w:pPr>
              <w:spacing w:before="48" w:after="551" w:line="274" w:lineRule="exact"/>
              <w:textAlignment w:val="baseline"/>
              <w:rPr>
                <w:rFonts w:ascii="Arial" w:hAnsi="Arial" w:cs="Arial"/>
                <w:b/>
                <w:color w:val="000000"/>
                <w:sz w:val="20"/>
                <w:szCs w:val="20"/>
              </w:rPr>
            </w:pPr>
            <w:r w:rsidRPr="00BE5147">
              <w:rPr>
                <w:rFonts w:ascii="Arial" w:hAnsi="Arial" w:cs="Arial"/>
                <w:b/>
                <w:color w:val="000000"/>
                <w:sz w:val="20"/>
                <w:szCs w:val="20"/>
              </w:rPr>
              <w:t>Reimbursement</w:t>
            </w:r>
          </w:p>
        </w:tc>
      </w:tr>
      <w:tr w:rsidR="00526C95" w:rsidRPr="00BE5147" w14:paraId="5690C4E8" w14:textId="77777777" w:rsidTr="00330BEE">
        <w:trPr>
          <w:trHeight w:val="530"/>
        </w:trPr>
        <w:tc>
          <w:tcPr>
            <w:tcW w:w="2515" w:type="dxa"/>
          </w:tcPr>
          <w:p w14:paraId="7B65F61D" w14:textId="77777777" w:rsidR="00526C95" w:rsidRPr="00BE5147" w:rsidRDefault="00526C95" w:rsidP="00526C95">
            <w:pPr>
              <w:tabs>
                <w:tab w:val="left" w:pos="360"/>
              </w:tabs>
              <w:textAlignment w:val="baseline"/>
              <w:rPr>
                <w:rFonts w:ascii="Arial" w:hAnsi="Arial" w:cs="Arial"/>
                <w:color w:val="000000"/>
                <w:sz w:val="20"/>
                <w:szCs w:val="20"/>
              </w:rPr>
            </w:pPr>
            <w:r w:rsidRPr="00BE5147">
              <w:rPr>
                <w:rFonts w:ascii="Arial" w:hAnsi="Arial" w:cs="Arial"/>
                <w:color w:val="000000"/>
                <w:sz w:val="20"/>
                <w:szCs w:val="20"/>
              </w:rPr>
              <w:t xml:space="preserve">Class 8 local freight trucks and port drayage trucks: trucks used for freight/cargo delivery including waste haulers, dump trucks, concrete mixers or drayage trucks hauling cargo to and from ports and intermodal rail yards with a gross vehicle </w:t>
            </w:r>
            <w:r w:rsidRPr="00BE5147">
              <w:rPr>
                <w:rFonts w:ascii="Arial" w:hAnsi="Arial" w:cs="Arial"/>
                <w:color w:val="000000"/>
                <w:sz w:val="20"/>
                <w:szCs w:val="20"/>
              </w:rPr>
              <w:lastRenderedPageBreak/>
              <w:t>weight rating (GVWR) greater than 33,000 lbs.</w:t>
            </w:r>
          </w:p>
        </w:tc>
        <w:tc>
          <w:tcPr>
            <w:tcW w:w="1460" w:type="dxa"/>
          </w:tcPr>
          <w:p w14:paraId="119FBF22"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lastRenderedPageBreak/>
              <w:t>Replacement</w:t>
            </w:r>
          </w:p>
          <w:p w14:paraId="387433EC" w14:textId="77777777" w:rsidR="00526C95" w:rsidRPr="00BE5147" w:rsidRDefault="00526C95" w:rsidP="00526C95">
            <w:pPr>
              <w:tabs>
                <w:tab w:val="left" w:pos="216"/>
                <w:tab w:val="left" w:pos="360"/>
              </w:tabs>
              <w:textAlignment w:val="baseline"/>
              <w:rPr>
                <w:rFonts w:ascii="Arial" w:hAnsi="Arial" w:cs="Arial"/>
                <w:color w:val="000000"/>
                <w:sz w:val="20"/>
                <w:szCs w:val="20"/>
              </w:rPr>
            </w:pPr>
          </w:p>
        </w:tc>
        <w:tc>
          <w:tcPr>
            <w:tcW w:w="3508" w:type="dxa"/>
          </w:tcPr>
          <w:p w14:paraId="5CF8C3E4" w14:textId="77777777" w:rsidR="00526C95" w:rsidRPr="00BE5147" w:rsidRDefault="00526C95" w:rsidP="00526C95">
            <w:pPr>
              <w:tabs>
                <w:tab w:val="left" w:pos="216"/>
                <w:tab w:val="left" w:pos="360"/>
              </w:tabs>
              <w:textAlignment w:val="baseline"/>
              <w:rPr>
                <w:rFonts w:ascii="Arial" w:hAnsi="Arial" w:cs="Arial"/>
                <w:color w:val="000000"/>
                <w:sz w:val="20"/>
                <w:szCs w:val="20"/>
              </w:rPr>
            </w:pPr>
            <w:r w:rsidRPr="00BE5147">
              <w:rPr>
                <w:rFonts w:ascii="Arial" w:hAnsi="Arial" w:cs="Arial"/>
                <w:color w:val="000000"/>
                <w:sz w:val="20"/>
                <w:szCs w:val="20"/>
              </w:rPr>
              <w:t>Eligible trucks include 1992-2009 engine model year Class 8 local freight or drayage trucks.</w:t>
            </w:r>
          </w:p>
          <w:p w14:paraId="4E7FF5E4" w14:textId="77777777" w:rsidR="00526C95" w:rsidRPr="00BE5147" w:rsidRDefault="00526C95" w:rsidP="00526C95">
            <w:pPr>
              <w:tabs>
                <w:tab w:val="left" w:pos="216"/>
                <w:tab w:val="left" w:pos="360"/>
              </w:tabs>
              <w:textAlignment w:val="baseline"/>
              <w:rPr>
                <w:rFonts w:ascii="Arial" w:hAnsi="Arial" w:cs="Arial"/>
                <w:color w:val="000000"/>
                <w:sz w:val="20"/>
                <w:szCs w:val="20"/>
              </w:rPr>
            </w:pPr>
          </w:p>
          <w:p w14:paraId="1E091388" w14:textId="77777777" w:rsidR="00526C95" w:rsidRPr="00BE5147" w:rsidRDefault="00526C95" w:rsidP="00526C95">
            <w:pPr>
              <w:tabs>
                <w:tab w:val="left" w:pos="216"/>
                <w:tab w:val="left" w:pos="360"/>
              </w:tabs>
              <w:textAlignment w:val="baseline"/>
              <w:rPr>
                <w:rFonts w:ascii="Arial" w:hAnsi="Arial" w:cs="Arial"/>
                <w:color w:val="000000"/>
                <w:sz w:val="20"/>
                <w:szCs w:val="20"/>
              </w:rPr>
            </w:pPr>
            <w:r w:rsidRPr="00BE5147">
              <w:rPr>
                <w:rFonts w:ascii="Arial" w:hAnsi="Arial" w:cs="Arial"/>
                <w:color w:val="000000"/>
                <w:sz w:val="20"/>
                <w:szCs w:val="20"/>
              </w:rPr>
              <w:t>Eligible trucks must be scrapped, and replaced with a new all-electric vehicle with the engine model year in which the eligible large truck mitigation action occurs or one engine model year prior.</w:t>
            </w:r>
          </w:p>
        </w:tc>
        <w:tc>
          <w:tcPr>
            <w:tcW w:w="2159" w:type="dxa"/>
          </w:tcPr>
          <w:p w14:paraId="5D3F0ADE"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Up to 75% for government-owned all-electric vehicle replacement, including electric charging infrastructure costs.</w:t>
            </w:r>
          </w:p>
        </w:tc>
      </w:tr>
      <w:tr w:rsidR="00526C95" w:rsidRPr="00BE5147" w14:paraId="2D5B411C" w14:textId="77777777" w:rsidTr="00330BEE">
        <w:trPr>
          <w:trHeight w:val="1332"/>
        </w:trPr>
        <w:tc>
          <w:tcPr>
            <w:tcW w:w="2515" w:type="dxa"/>
          </w:tcPr>
          <w:p w14:paraId="0ADEE575" w14:textId="77777777" w:rsidR="00526C95" w:rsidRPr="00BE5147" w:rsidRDefault="00526C95" w:rsidP="00526C95">
            <w:pPr>
              <w:tabs>
                <w:tab w:val="left" w:pos="216"/>
                <w:tab w:val="left" w:pos="360"/>
              </w:tabs>
              <w:textAlignment w:val="baseline"/>
              <w:rPr>
                <w:rFonts w:ascii="Arial" w:hAnsi="Arial" w:cs="Arial"/>
                <w:color w:val="000000"/>
                <w:sz w:val="20"/>
                <w:szCs w:val="20"/>
              </w:rPr>
            </w:pPr>
            <w:r w:rsidRPr="00BE5147">
              <w:rPr>
                <w:rFonts w:ascii="Arial" w:hAnsi="Arial" w:cs="Arial"/>
                <w:color w:val="000000"/>
                <w:sz w:val="20"/>
                <w:szCs w:val="20"/>
              </w:rPr>
              <w:t>Class 4-7 local freight trucks: commercial trucks used to deliver cargo and freight (e.g., courier services, delivery trucks, box trucks moving freight, waste haulers, dump trucks, concrete mixers) with a GVWR between 14,001 and 33,000 lbs.</w:t>
            </w:r>
          </w:p>
        </w:tc>
        <w:tc>
          <w:tcPr>
            <w:tcW w:w="1460" w:type="dxa"/>
          </w:tcPr>
          <w:p w14:paraId="24155F92"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Replacement</w:t>
            </w:r>
          </w:p>
          <w:p w14:paraId="63002201" w14:textId="77777777" w:rsidR="00526C95" w:rsidRPr="00BE5147" w:rsidRDefault="00526C95" w:rsidP="00526C95">
            <w:pPr>
              <w:textAlignment w:val="baseline"/>
              <w:rPr>
                <w:rFonts w:ascii="Arial" w:hAnsi="Arial" w:cs="Arial"/>
                <w:color w:val="000000"/>
                <w:sz w:val="20"/>
                <w:szCs w:val="20"/>
              </w:rPr>
            </w:pPr>
          </w:p>
        </w:tc>
        <w:tc>
          <w:tcPr>
            <w:tcW w:w="3508" w:type="dxa"/>
          </w:tcPr>
          <w:p w14:paraId="17256286"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Eligible trucks include 1992-2009 engine model year Class 4-7 local freight trucks.</w:t>
            </w:r>
          </w:p>
          <w:p w14:paraId="10416036" w14:textId="77777777" w:rsidR="00526C95" w:rsidRPr="00BE5147" w:rsidRDefault="00526C95" w:rsidP="00526C95">
            <w:pPr>
              <w:textAlignment w:val="baseline"/>
              <w:rPr>
                <w:rFonts w:ascii="Arial" w:hAnsi="Arial" w:cs="Arial"/>
                <w:color w:val="000000"/>
                <w:sz w:val="20"/>
                <w:szCs w:val="20"/>
              </w:rPr>
            </w:pPr>
          </w:p>
          <w:p w14:paraId="3714AD91" w14:textId="77777777" w:rsidR="00526C95" w:rsidRPr="00BE5147" w:rsidRDefault="00526C95" w:rsidP="00526C95">
            <w:pPr>
              <w:tabs>
                <w:tab w:val="left" w:pos="216"/>
                <w:tab w:val="left" w:pos="360"/>
              </w:tabs>
              <w:textAlignment w:val="baseline"/>
              <w:rPr>
                <w:rFonts w:ascii="Arial" w:hAnsi="Arial" w:cs="Arial"/>
                <w:color w:val="000000"/>
                <w:sz w:val="20"/>
                <w:szCs w:val="20"/>
              </w:rPr>
            </w:pPr>
            <w:r w:rsidRPr="00BE5147">
              <w:rPr>
                <w:rFonts w:ascii="Arial" w:hAnsi="Arial" w:cs="Arial"/>
                <w:color w:val="000000"/>
                <w:sz w:val="20"/>
                <w:szCs w:val="20"/>
              </w:rPr>
              <w:t>Eligible trucks must be scrapped, and replaced with a new all-electric vehicle with the engine model year in which the eligible medium truck mitigation action occurs or one engine model year prior.</w:t>
            </w:r>
          </w:p>
        </w:tc>
        <w:tc>
          <w:tcPr>
            <w:tcW w:w="2159" w:type="dxa"/>
          </w:tcPr>
          <w:p w14:paraId="2F536520"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Up to 75% for government owned all-electric vehicle replacement, including electric charging infrastructure costs.</w:t>
            </w:r>
          </w:p>
        </w:tc>
      </w:tr>
      <w:tr w:rsidR="00526C95" w:rsidRPr="00BE5147" w14:paraId="7F75CB48" w14:textId="77777777" w:rsidTr="00330BEE">
        <w:trPr>
          <w:trHeight w:val="864"/>
        </w:trPr>
        <w:tc>
          <w:tcPr>
            <w:tcW w:w="2515" w:type="dxa"/>
          </w:tcPr>
          <w:p w14:paraId="20DDA9C3" w14:textId="77777777" w:rsidR="00526C95" w:rsidRPr="00BE5147" w:rsidRDefault="00526C95" w:rsidP="00526C95">
            <w:pPr>
              <w:tabs>
                <w:tab w:val="left" w:pos="216"/>
                <w:tab w:val="left" w:pos="360"/>
              </w:tabs>
              <w:ind w:right="324"/>
              <w:textAlignment w:val="baseline"/>
              <w:rPr>
                <w:rFonts w:ascii="Arial" w:hAnsi="Arial" w:cs="Arial"/>
                <w:color w:val="000000"/>
                <w:spacing w:val="-2"/>
                <w:sz w:val="20"/>
                <w:szCs w:val="20"/>
              </w:rPr>
            </w:pPr>
            <w:r w:rsidRPr="00BE5147">
              <w:rPr>
                <w:rFonts w:ascii="Arial" w:hAnsi="Arial" w:cs="Arial"/>
                <w:color w:val="000000"/>
                <w:sz w:val="20"/>
                <w:szCs w:val="20"/>
              </w:rPr>
              <w:t>Class 4-8 shuttle buses: Shuttle buses used for transporting people with a gross vehicle weight rating GVWR greater than 14,001 lbs.</w:t>
            </w:r>
          </w:p>
        </w:tc>
        <w:tc>
          <w:tcPr>
            <w:tcW w:w="1460" w:type="dxa"/>
          </w:tcPr>
          <w:p w14:paraId="72C66877"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Replacement</w:t>
            </w:r>
          </w:p>
        </w:tc>
        <w:tc>
          <w:tcPr>
            <w:tcW w:w="3508" w:type="dxa"/>
          </w:tcPr>
          <w:p w14:paraId="40A29A23"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 xml:space="preserve">Eligible shuttle buses include 2009 engine model year or older class 4-8 shuttle buses. </w:t>
            </w:r>
          </w:p>
          <w:p w14:paraId="390002C3" w14:textId="77777777" w:rsidR="00526C95" w:rsidRPr="00BE5147" w:rsidRDefault="00526C95" w:rsidP="00526C95">
            <w:pPr>
              <w:textAlignment w:val="baseline"/>
              <w:rPr>
                <w:rFonts w:ascii="Arial" w:hAnsi="Arial" w:cs="Arial"/>
                <w:color w:val="000000"/>
                <w:sz w:val="20"/>
                <w:szCs w:val="20"/>
              </w:rPr>
            </w:pPr>
          </w:p>
          <w:p w14:paraId="5076C8B5"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Eligible shuttle buses must be scrapped and replaced with a new all-electric vehicle with the engine model year in which the eligible bus mitigation action occurs or one engine model year prior.</w:t>
            </w:r>
          </w:p>
        </w:tc>
        <w:tc>
          <w:tcPr>
            <w:tcW w:w="2159" w:type="dxa"/>
          </w:tcPr>
          <w:p w14:paraId="77FEA7BC"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Up to 75% for government owned all-electric vehicle replacement, including electric charging infrastructure costs.</w:t>
            </w:r>
          </w:p>
        </w:tc>
      </w:tr>
      <w:tr w:rsidR="00526C95" w:rsidRPr="00BE5147" w14:paraId="3C040829" w14:textId="77777777" w:rsidTr="00330BEE">
        <w:trPr>
          <w:trHeight w:val="864"/>
        </w:trPr>
        <w:tc>
          <w:tcPr>
            <w:tcW w:w="2515" w:type="dxa"/>
          </w:tcPr>
          <w:p w14:paraId="65049040" w14:textId="77777777" w:rsidR="00526C95" w:rsidRPr="00BE5147" w:rsidRDefault="00526C95" w:rsidP="00526C95">
            <w:pPr>
              <w:tabs>
                <w:tab w:val="left" w:pos="216"/>
                <w:tab w:val="left" w:pos="360"/>
              </w:tabs>
              <w:ind w:right="324"/>
              <w:textAlignment w:val="baseline"/>
              <w:rPr>
                <w:rFonts w:ascii="Arial" w:hAnsi="Arial" w:cs="Arial"/>
                <w:color w:val="000000"/>
                <w:sz w:val="20"/>
                <w:szCs w:val="20"/>
              </w:rPr>
            </w:pPr>
            <w:r w:rsidRPr="00BE5147">
              <w:rPr>
                <w:rFonts w:ascii="Arial" w:hAnsi="Arial" w:cs="Arial"/>
                <w:color w:val="000000"/>
                <w:sz w:val="20"/>
                <w:szCs w:val="20"/>
              </w:rPr>
              <w:t>Airport ground support equipment: vehicles and</w:t>
            </w:r>
            <w:r w:rsidRPr="00BE5147">
              <w:rPr>
                <w:rFonts w:ascii="Arial" w:hAnsi="Arial" w:cs="Arial"/>
                <w:color w:val="000000"/>
                <w:spacing w:val="-5"/>
                <w:sz w:val="20"/>
                <w:szCs w:val="20"/>
              </w:rPr>
              <w:t xml:space="preserve"> equipment used at an airport to service aircraft between flights.</w:t>
            </w:r>
          </w:p>
        </w:tc>
        <w:tc>
          <w:tcPr>
            <w:tcW w:w="1460" w:type="dxa"/>
          </w:tcPr>
          <w:p w14:paraId="7B1ED444"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Replacement</w:t>
            </w:r>
          </w:p>
          <w:p w14:paraId="68C23FEB" w14:textId="77777777" w:rsidR="00526C95" w:rsidRPr="00BE5147" w:rsidRDefault="00526C95" w:rsidP="00526C95">
            <w:pPr>
              <w:textAlignment w:val="baseline"/>
              <w:rPr>
                <w:rFonts w:ascii="Arial" w:hAnsi="Arial" w:cs="Arial"/>
                <w:color w:val="000000"/>
                <w:sz w:val="20"/>
                <w:szCs w:val="20"/>
              </w:rPr>
            </w:pPr>
          </w:p>
          <w:p w14:paraId="7F1B0717" w14:textId="77777777" w:rsidR="00526C95" w:rsidRPr="00BE5147" w:rsidRDefault="00526C95" w:rsidP="00526C95">
            <w:pPr>
              <w:textAlignment w:val="baseline"/>
              <w:rPr>
                <w:rFonts w:ascii="Arial" w:hAnsi="Arial" w:cs="Arial"/>
                <w:color w:val="000000"/>
                <w:sz w:val="20"/>
                <w:szCs w:val="20"/>
              </w:rPr>
            </w:pPr>
          </w:p>
        </w:tc>
        <w:tc>
          <w:tcPr>
            <w:tcW w:w="3508" w:type="dxa"/>
          </w:tcPr>
          <w:p w14:paraId="4AEBECB3"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Eligible airport ground support equipment includes</w:t>
            </w:r>
          </w:p>
          <w:p w14:paraId="57E465DE" w14:textId="77777777" w:rsidR="00526C95" w:rsidRPr="00BE5147" w:rsidRDefault="00526C95" w:rsidP="00526C95">
            <w:pPr>
              <w:textAlignment w:val="baseline"/>
              <w:rPr>
                <w:rFonts w:ascii="Arial" w:hAnsi="Arial" w:cs="Arial"/>
                <w:color w:val="000000"/>
                <w:sz w:val="20"/>
                <w:szCs w:val="20"/>
              </w:rPr>
            </w:pPr>
          </w:p>
          <w:p w14:paraId="7024E37E"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Tier 0, Tier 1, or Tier 2 diesel powered airport ground support equipment; and uncertified, or certified to 3 g/bhp-hr or higher emissions, spark ignition engine powered airport ground support equipment,</w:t>
            </w:r>
          </w:p>
          <w:p w14:paraId="52383D8D" w14:textId="77777777" w:rsidR="00526C95" w:rsidRPr="00BE5147" w:rsidRDefault="00526C95" w:rsidP="00526C95">
            <w:pPr>
              <w:textAlignment w:val="baseline"/>
              <w:rPr>
                <w:rFonts w:ascii="Arial" w:hAnsi="Arial" w:cs="Arial"/>
                <w:color w:val="000000"/>
                <w:sz w:val="20"/>
                <w:szCs w:val="20"/>
              </w:rPr>
            </w:pPr>
          </w:p>
          <w:p w14:paraId="529E2FE6"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Eligible airport ground support equipment must be scrapped, and replaced with the same airport ground support equipment in an all-electric form.</w:t>
            </w:r>
          </w:p>
        </w:tc>
        <w:tc>
          <w:tcPr>
            <w:tcW w:w="2159" w:type="dxa"/>
          </w:tcPr>
          <w:p w14:paraId="19A0770E"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Up to 75% for government owned all-electric equipment replacement, including charging infrastructure costs.</w:t>
            </w:r>
          </w:p>
        </w:tc>
      </w:tr>
      <w:tr w:rsidR="00526C95" w:rsidRPr="00BE5147" w14:paraId="59CE7AA6" w14:textId="77777777" w:rsidTr="00330BEE">
        <w:trPr>
          <w:trHeight w:val="3320"/>
        </w:trPr>
        <w:tc>
          <w:tcPr>
            <w:tcW w:w="2515" w:type="dxa"/>
          </w:tcPr>
          <w:p w14:paraId="01B9EFF4" w14:textId="77777777" w:rsidR="00526C95" w:rsidRPr="00BE5147" w:rsidRDefault="00526C95" w:rsidP="00526C95">
            <w:pPr>
              <w:tabs>
                <w:tab w:val="left" w:pos="216"/>
                <w:tab w:val="left" w:pos="360"/>
              </w:tabs>
              <w:textAlignment w:val="baseline"/>
              <w:rPr>
                <w:rFonts w:ascii="Arial" w:hAnsi="Arial" w:cs="Arial"/>
                <w:color w:val="000000"/>
                <w:sz w:val="20"/>
                <w:szCs w:val="20"/>
              </w:rPr>
            </w:pPr>
            <w:r w:rsidRPr="00BE5147">
              <w:rPr>
                <w:rFonts w:ascii="Arial" w:hAnsi="Arial" w:cs="Arial"/>
                <w:color w:val="000000"/>
                <w:sz w:val="20"/>
                <w:szCs w:val="20"/>
              </w:rPr>
              <w:lastRenderedPageBreak/>
              <w:t>Freight switching locomotives: locomotive that move rail cars around a rail yard as compared to a line-haul engine that moves freight long distances.</w:t>
            </w:r>
          </w:p>
        </w:tc>
        <w:tc>
          <w:tcPr>
            <w:tcW w:w="1460" w:type="dxa"/>
          </w:tcPr>
          <w:p w14:paraId="55371C10" w14:textId="77777777" w:rsidR="00526C95" w:rsidRPr="00BE5147" w:rsidRDefault="00526C95" w:rsidP="00330BEE">
            <w:pPr>
              <w:ind w:left="91"/>
              <w:textAlignment w:val="baseline"/>
              <w:rPr>
                <w:rFonts w:ascii="Arial" w:hAnsi="Arial" w:cs="Arial"/>
                <w:color w:val="000000"/>
                <w:sz w:val="20"/>
                <w:szCs w:val="20"/>
              </w:rPr>
            </w:pPr>
            <w:r w:rsidRPr="00BE5147">
              <w:rPr>
                <w:rFonts w:ascii="Arial" w:hAnsi="Arial" w:cs="Arial"/>
                <w:color w:val="000000"/>
                <w:sz w:val="20"/>
                <w:szCs w:val="20"/>
              </w:rPr>
              <w:t>Repower or replacement</w:t>
            </w:r>
          </w:p>
          <w:p w14:paraId="3E3C630A" w14:textId="77777777" w:rsidR="00526C95" w:rsidRPr="00BE5147" w:rsidRDefault="00526C95" w:rsidP="00526C95">
            <w:pPr>
              <w:textAlignment w:val="baseline"/>
              <w:rPr>
                <w:rFonts w:ascii="Arial" w:hAnsi="Arial" w:cs="Arial"/>
                <w:color w:val="000000"/>
                <w:sz w:val="20"/>
                <w:szCs w:val="20"/>
              </w:rPr>
            </w:pPr>
          </w:p>
        </w:tc>
        <w:tc>
          <w:tcPr>
            <w:tcW w:w="3508" w:type="dxa"/>
          </w:tcPr>
          <w:p w14:paraId="2DB03D37"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Eligible freight switchers include pre-Tier 4 switcher locomotives that operate 1,000 or more hours per year.</w:t>
            </w:r>
          </w:p>
          <w:p w14:paraId="5D2944DD" w14:textId="77777777" w:rsidR="00526C95" w:rsidRPr="00BE5147" w:rsidRDefault="00526C95" w:rsidP="00526C95">
            <w:pPr>
              <w:textAlignment w:val="baseline"/>
              <w:rPr>
                <w:rFonts w:ascii="Arial" w:hAnsi="Arial" w:cs="Arial"/>
                <w:color w:val="000000"/>
                <w:sz w:val="20"/>
                <w:szCs w:val="20"/>
              </w:rPr>
            </w:pPr>
          </w:p>
          <w:p w14:paraId="1343C2FB"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Eligible freight switchers must be scrapped, and may be repowered with a new all-electric engine(s) or may be replaced with a new all-electric freight switcher certified to meet the applicable EPA emission standards for the engine model year in which the eligible freight switcher mitigation action occurs.</w:t>
            </w:r>
          </w:p>
        </w:tc>
        <w:tc>
          <w:tcPr>
            <w:tcW w:w="2159" w:type="dxa"/>
          </w:tcPr>
          <w:p w14:paraId="299BD1DB"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Up to 75% for government owned all-electric repower or replacement, including electric charging infrastructure costs.</w:t>
            </w:r>
          </w:p>
        </w:tc>
      </w:tr>
      <w:tr w:rsidR="00526C95" w:rsidRPr="00BE5147" w14:paraId="0DA56B7A" w14:textId="77777777" w:rsidTr="00330BEE">
        <w:trPr>
          <w:trHeight w:val="2870"/>
        </w:trPr>
        <w:tc>
          <w:tcPr>
            <w:tcW w:w="2515" w:type="dxa"/>
          </w:tcPr>
          <w:p w14:paraId="61442611" w14:textId="1D662695" w:rsidR="00526C95" w:rsidRPr="00BE5147" w:rsidRDefault="00526C95" w:rsidP="00526C95">
            <w:pPr>
              <w:tabs>
                <w:tab w:val="left" w:pos="216"/>
                <w:tab w:val="left" w:pos="360"/>
              </w:tabs>
              <w:textAlignment w:val="baseline"/>
              <w:rPr>
                <w:rFonts w:ascii="Arial" w:hAnsi="Arial" w:cs="Arial"/>
                <w:color w:val="000000"/>
                <w:sz w:val="20"/>
                <w:szCs w:val="20"/>
              </w:rPr>
            </w:pPr>
            <w:r w:rsidRPr="00BE5147">
              <w:rPr>
                <w:rFonts w:ascii="Arial" w:hAnsi="Arial" w:cs="Arial"/>
                <w:color w:val="000000"/>
                <w:sz w:val="20"/>
                <w:szCs w:val="20"/>
              </w:rPr>
              <w:t>Ferries/tugs: Dedicated vessels that push or pull other vessels in ports, harbors, and inland waterways (e.g., tugboats or tow boats) and vessels that transport people.</w:t>
            </w:r>
            <w:r w:rsidR="000C1EE6" w:rsidRPr="00BE5147">
              <w:rPr>
                <w:rFonts w:ascii="Arial" w:hAnsi="Arial" w:cs="Arial"/>
                <w:color w:val="000000"/>
                <w:sz w:val="20"/>
                <w:szCs w:val="20"/>
              </w:rPr>
              <w:t xml:space="preserve"> </w:t>
            </w:r>
          </w:p>
          <w:p w14:paraId="0E754C5F" w14:textId="77777777" w:rsidR="00526C95" w:rsidRPr="00BE5147" w:rsidRDefault="00526C95" w:rsidP="00526C95">
            <w:pPr>
              <w:tabs>
                <w:tab w:val="left" w:pos="216"/>
                <w:tab w:val="left" w:pos="360"/>
              </w:tabs>
              <w:textAlignment w:val="baseline"/>
              <w:rPr>
                <w:rFonts w:ascii="Arial" w:hAnsi="Arial" w:cs="Arial"/>
                <w:color w:val="000000"/>
                <w:sz w:val="20"/>
                <w:szCs w:val="20"/>
              </w:rPr>
            </w:pPr>
          </w:p>
          <w:p w14:paraId="44FF8518" w14:textId="77777777" w:rsidR="00526C95" w:rsidRPr="00BE5147" w:rsidRDefault="00526C95" w:rsidP="00526C95">
            <w:pPr>
              <w:tabs>
                <w:tab w:val="left" w:pos="216"/>
                <w:tab w:val="left" w:pos="360"/>
              </w:tabs>
              <w:textAlignment w:val="baseline"/>
              <w:rPr>
                <w:rFonts w:ascii="Arial" w:hAnsi="Arial" w:cs="Arial"/>
                <w:color w:val="000000"/>
                <w:sz w:val="20"/>
                <w:szCs w:val="20"/>
              </w:rPr>
            </w:pPr>
            <w:r w:rsidRPr="00BE5147">
              <w:rPr>
                <w:rFonts w:ascii="Arial" w:hAnsi="Arial" w:cs="Arial"/>
                <w:b/>
                <w:color w:val="000000"/>
                <w:sz w:val="20"/>
                <w:szCs w:val="20"/>
              </w:rPr>
              <w:t>Harbor shuttles and excursion vessels are not eligible under this program.</w:t>
            </w:r>
          </w:p>
        </w:tc>
        <w:tc>
          <w:tcPr>
            <w:tcW w:w="1460" w:type="dxa"/>
          </w:tcPr>
          <w:p w14:paraId="19A1C67C"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Repower</w:t>
            </w:r>
          </w:p>
          <w:p w14:paraId="6E483193" w14:textId="77777777" w:rsidR="00526C95" w:rsidRPr="00BE5147" w:rsidRDefault="00526C95" w:rsidP="00526C95">
            <w:pPr>
              <w:textAlignment w:val="baseline"/>
              <w:rPr>
                <w:rFonts w:ascii="Arial" w:hAnsi="Arial" w:cs="Arial"/>
                <w:color w:val="000000"/>
                <w:sz w:val="20"/>
                <w:szCs w:val="20"/>
              </w:rPr>
            </w:pPr>
          </w:p>
        </w:tc>
        <w:tc>
          <w:tcPr>
            <w:tcW w:w="3508" w:type="dxa"/>
          </w:tcPr>
          <w:p w14:paraId="62A2CCE3"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Eligible ferries and/or tugs include unregulated, Tier 1 or Tier 2 marine engines.</w:t>
            </w:r>
          </w:p>
          <w:p w14:paraId="1A9AFD4E" w14:textId="77777777" w:rsidR="00526C95" w:rsidRPr="00BE5147" w:rsidRDefault="00526C95" w:rsidP="00526C95">
            <w:pPr>
              <w:textAlignment w:val="baseline"/>
              <w:rPr>
                <w:rFonts w:ascii="Arial" w:hAnsi="Arial" w:cs="Arial"/>
                <w:color w:val="000000"/>
                <w:sz w:val="20"/>
                <w:szCs w:val="20"/>
              </w:rPr>
            </w:pPr>
          </w:p>
          <w:p w14:paraId="46F44ED6"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 xml:space="preserve">Eligible ferry and/or tug engines that are replaced must be scrapped, and </w:t>
            </w:r>
          </w:p>
          <w:p w14:paraId="258135BF" w14:textId="77777777" w:rsidR="00526C95" w:rsidRPr="00BE5147" w:rsidRDefault="00526C95" w:rsidP="00526C95">
            <w:pPr>
              <w:textAlignment w:val="baseline"/>
              <w:rPr>
                <w:rFonts w:ascii="Arial" w:hAnsi="Arial" w:cs="Arial"/>
                <w:color w:val="000000"/>
                <w:sz w:val="20"/>
                <w:szCs w:val="20"/>
              </w:rPr>
            </w:pPr>
          </w:p>
          <w:p w14:paraId="68F7973B" w14:textId="77777777" w:rsidR="00526C95" w:rsidRPr="00BE5147" w:rsidRDefault="00526C95" w:rsidP="00526C95">
            <w:pPr>
              <w:textAlignment w:val="baseline"/>
              <w:rPr>
                <w:rFonts w:ascii="Arial" w:hAnsi="Arial" w:cs="Arial"/>
                <w:b/>
                <w:color w:val="000000"/>
                <w:sz w:val="20"/>
                <w:szCs w:val="20"/>
              </w:rPr>
            </w:pPr>
            <w:r w:rsidRPr="00BE5147">
              <w:rPr>
                <w:rFonts w:ascii="Arial" w:hAnsi="Arial" w:cs="Arial"/>
                <w:color w:val="000000"/>
                <w:sz w:val="20"/>
                <w:szCs w:val="20"/>
              </w:rPr>
              <w:t>Eligible ferries and/or tugs must be repowered with new all-electric engines.</w:t>
            </w:r>
          </w:p>
        </w:tc>
        <w:tc>
          <w:tcPr>
            <w:tcW w:w="2159" w:type="dxa"/>
          </w:tcPr>
          <w:p w14:paraId="7D71B122"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Up to 75% for government owned all-electric repower, including electric charging infrastructure costs.</w:t>
            </w:r>
          </w:p>
        </w:tc>
      </w:tr>
      <w:tr w:rsidR="00526C95" w:rsidRPr="00BE5147" w14:paraId="6F6395CF" w14:textId="77777777" w:rsidTr="00330BEE">
        <w:trPr>
          <w:trHeight w:val="530"/>
        </w:trPr>
        <w:tc>
          <w:tcPr>
            <w:tcW w:w="2515" w:type="dxa"/>
          </w:tcPr>
          <w:p w14:paraId="1E18E031" w14:textId="77777777" w:rsidR="00526C95" w:rsidRPr="00BE5147" w:rsidRDefault="00526C95" w:rsidP="00526C95">
            <w:pPr>
              <w:tabs>
                <w:tab w:val="left" w:pos="216"/>
                <w:tab w:val="left" w:pos="360"/>
              </w:tabs>
              <w:textAlignment w:val="baseline"/>
              <w:rPr>
                <w:rFonts w:ascii="Arial" w:hAnsi="Arial" w:cs="Arial"/>
                <w:color w:val="000000"/>
                <w:sz w:val="20"/>
                <w:szCs w:val="20"/>
              </w:rPr>
            </w:pPr>
            <w:r w:rsidRPr="00BE5147">
              <w:rPr>
                <w:rFonts w:ascii="Arial" w:hAnsi="Arial" w:cs="Arial"/>
                <w:color w:val="000000"/>
                <w:sz w:val="20"/>
                <w:szCs w:val="20"/>
              </w:rPr>
              <w:t>Ocean-going vessels: container ships, bulk carriers, general cargo ship.</w:t>
            </w:r>
          </w:p>
        </w:tc>
        <w:tc>
          <w:tcPr>
            <w:tcW w:w="1460" w:type="dxa"/>
          </w:tcPr>
          <w:p w14:paraId="3B5D8C78"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Shorepower</w:t>
            </w:r>
          </w:p>
        </w:tc>
        <w:tc>
          <w:tcPr>
            <w:tcW w:w="3508" w:type="dxa"/>
          </w:tcPr>
          <w:p w14:paraId="0EE2BB2D" w14:textId="77777777" w:rsidR="00526C95" w:rsidRPr="00BE5147" w:rsidRDefault="00526C95" w:rsidP="00526C95">
            <w:pPr>
              <w:textAlignment w:val="baseline"/>
              <w:rPr>
                <w:rFonts w:ascii="Arial" w:hAnsi="Arial" w:cs="Arial"/>
                <w:color w:val="000000"/>
                <w:sz w:val="20"/>
                <w:szCs w:val="20"/>
              </w:rPr>
            </w:pPr>
            <w:r w:rsidRPr="00BE5147">
              <w:rPr>
                <w:rFonts w:ascii="Arial" w:hAnsi="Arial" w:cs="Arial"/>
                <w:color w:val="000000"/>
                <w:sz w:val="20"/>
                <w:szCs w:val="20"/>
              </w:rPr>
              <w:t>Eligible marine shorepower includes systems that enable a compatible vessel’s main and auxiliary engines to remain off while the vessel is at berth. Components of such systems eligible for reimbursement are limited to cables,power distribution, cable management, shore power coupler and distribution control systems. Marine shore power systems must comply with international shore power design standards (ISO/IEC/IEEE 80005-1-2012 High Voltage Shore Connection Systems or the IEC/PAS 80005-3:2014 Low Voltage Shore Connection Systems) and should be supplied with power sourced from the local utility grid.</w:t>
            </w:r>
          </w:p>
        </w:tc>
        <w:tc>
          <w:tcPr>
            <w:tcW w:w="2159" w:type="dxa"/>
          </w:tcPr>
          <w:p w14:paraId="2B33702F" w14:textId="77777777" w:rsidR="00526C95" w:rsidRPr="00BE5147" w:rsidRDefault="00526C95" w:rsidP="00526C95">
            <w:pPr>
              <w:ind w:right="720"/>
              <w:textAlignment w:val="baseline"/>
              <w:rPr>
                <w:rFonts w:ascii="Arial" w:hAnsi="Arial" w:cs="Arial"/>
                <w:color w:val="000000"/>
                <w:sz w:val="20"/>
                <w:szCs w:val="20"/>
              </w:rPr>
            </w:pPr>
            <w:r w:rsidRPr="00BE5147">
              <w:rPr>
                <w:rFonts w:ascii="Arial" w:hAnsi="Arial" w:cs="Arial"/>
                <w:color w:val="000000"/>
                <w:sz w:val="20"/>
                <w:szCs w:val="20"/>
              </w:rPr>
              <w:t>Up to 75% for government owned shore side infrastructure.</w:t>
            </w:r>
          </w:p>
        </w:tc>
      </w:tr>
    </w:tbl>
    <w:p w14:paraId="602791D6" w14:textId="77777777" w:rsidR="00C744FB" w:rsidRPr="00BE5147" w:rsidRDefault="00C744FB" w:rsidP="00526C95">
      <w:pPr>
        <w:shd w:val="clear" w:color="auto" w:fill="FFFFFF"/>
        <w:ind w:left="720"/>
        <w:contextualSpacing/>
        <w:rPr>
          <w:rFonts w:ascii="Arial" w:hAnsi="Arial" w:cs="Arial"/>
          <w:color w:val="000000"/>
          <w:sz w:val="20"/>
          <w:szCs w:val="20"/>
        </w:rPr>
      </w:pPr>
    </w:p>
    <w:p w14:paraId="04630813" w14:textId="7A56499A" w:rsidR="00076806" w:rsidRPr="00BE5147" w:rsidRDefault="00076806" w:rsidP="00076806">
      <w:pPr>
        <w:autoSpaceDE w:val="0"/>
        <w:autoSpaceDN w:val="0"/>
        <w:adjustRightInd w:val="0"/>
        <w:rPr>
          <w:rFonts w:ascii="Arial" w:eastAsia="PMingLiU" w:hAnsi="Arial" w:cs="Arial"/>
          <w:b/>
          <w:bCs/>
          <w:sz w:val="20"/>
          <w:szCs w:val="20"/>
        </w:rPr>
      </w:pPr>
      <w:r w:rsidRPr="00BE5147">
        <w:rPr>
          <w:rFonts w:ascii="Arial" w:eastAsia="PMingLiU" w:hAnsi="Arial" w:cs="Arial"/>
          <w:b/>
          <w:bCs/>
          <w:sz w:val="20"/>
          <w:szCs w:val="20"/>
        </w:rPr>
        <w:t>Match Requirement</w:t>
      </w:r>
    </w:p>
    <w:p w14:paraId="467A302B" w14:textId="7B7897A5" w:rsidR="00076806" w:rsidRDefault="009B1DF2" w:rsidP="00330BEE">
      <w:pPr>
        <w:autoSpaceDE w:val="0"/>
        <w:autoSpaceDN w:val="0"/>
        <w:adjustRightInd w:val="0"/>
        <w:rPr>
          <w:rFonts w:ascii="Arial" w:eastAsia="PMingLiU" w:hAnsi="Arial" w:cs="Arial"/>
          <w:sz w:val="20"/>
          <w:szCs w:val="20"/>
        </w:rPr>
      </w:pPr>
      <w:r w:rsidRPr="00C744FB">
        <w:rPr>
          <w:rFonts w:ascii="Arial" w:hAnsi="Arial" w:cs="Arial"/>
          <w:color w:val="000000"/>
          <w:sz w:val="20"/>
          <w:szCs w:val="20"/>
        </w:rPr>
        <w:t>Applicant must provide a cost-share of at least 25% of the total project costs (</w:t>
      </w:r>
      <w:r>
        <w:rPr>
          <w:rFonts w:ascii="Arial" w:hAnsi="Arial" w:cs="Arial"/>
          <w:color w:val="000000"/>
          <w:sz w:val="20"/>
          <w:szCs w:val="20"/>
        </w:rPr>
        <w:t>applicant and/or other funding sources, including other “eligible” grant funds received</w:t>
      </w:r>
      <w:r w:rsidRPr="00C744FB">
        <w:rPr>
          <w:rFonts w:ascii="Arial" w:hAnsi="Arial" w:cs="Arial"/>
          <w:color w:val="000000"/>
          <w:sz w:val="20"/>
          <w:szCs w:val="20"/>
        </w:rPr>
        <w:t>).  Applicant</w:t>
      </w:r>
      <w:r>
        <w:rPr>
          <w:rFonts w:ascii="Arial" w:hAnsi="Arial" w:cs="Arial"/>
          <w:color w:val="000000"/>
          <w:sz w:val="20"/>
          <w:szCs w:val="20"/>
        </w:rPr>
        <w:t xml:space="preserve"> is</w:t>
      </w:r>
      <w:r w:rsidRPr="00C744FB">
        <w:rPr>
          <w:rFonts w:ascii="Arial" w:hAnsi="Arial" w:cs="Arial"/>
          <w:color w:val="000000"/>
          <w:sz w:val="20"/>
          <w:szCs w:val="20"/>
        </w:rPr>
        <w:t xml:space="preserve"> encouraged to provide a </w:t>
      </w:r>
      <w:r>
        <w:rPr>
          <w:rFonts w:ascii="Arial" w:hAnsi="Arial" w:cs="Arial"/>
          <w:color w:val="000000"/>
          <w:sz w:val="20"/>
          <w:szCs w:val="20"/>
        </w:rPr>
        <w:t>cost-share</w:t>
      </w:r>
      <w:r w:rsidRPr="00C744FB">
        <w:rPr>
          <w:rFonts w:ascii="Arial" w:hAnsi="Arial" w:cs="Arial"/>
          <w:color w:val="000000"/>
          <w:sz w:val="20"/>
          <w:szCs w:val="20"/>
        </w:rPr>
        <w:t xml:space="preserve"> greater than the minimum 25% required for the project, in order to receive a higher ranking for cost-effectiveness (s</w:t>
      </w:r>
      <w:r>
        <w:rPr>
          <w:rFonts w:ascii="Arial" w:hAnsi="Arial" w:cs="Arial"/>
          <w:color w:val="000000"/>
          <w:sz w:val="20"/>
          <w:szCs w:val="20"/>
        </w:rPr>
        <w:t>ee project selection criteria).</w:t>
      </w:r>
      <w:r>
        <w:rPr>
          <w:rFonts w:ascii="Arial" w:eastAsia="PMingLiU" w:hAnsi="Arial" w:cs="Arial"/>
          <w:sz w:val="20"/>
          <w:szCs w:val="20"/>
        </w:rPr>
        <w:t xml:space="preserve"> Applicants must demonstrate the ability to </w:t>
      </w:r>
      <w:r w:rsidRPr="00C744FB">
        <w:rPr>
          <w:rFonts w:ascii="Arial" w:eastAsia="PMingLiU" w:hAnsi="Arial" w:cs="Arial"/>
          <w:sz w:val="20"/>
          <w:szCs w:val="20"/>
        </w:rPr>
        <w:t xml:space="preserve">cover the </w:t>
      </w:r>
      <w:r>
        <w:rPr>
          <w:rFonts w:ascii="Arial" w:eastAsia="PMingLiU" w:hAnsi="Arial" w:cs="Arial"/>
          <w:sz w:val="20"/>
          <w:szCs w:val="20"/>
        </w:rPr>
        <w:lastRenderedPageBreak/>
        <w:t xml:space="preserve">total </w:t>
      </w:r>
      <w:r w:rsidRPr="00C744FB">
        <w:rPr>
          <w:rFonts w:ascii="Arial" w:eastAsia="PMingLiU" w:hAnsi="Arial" w:cs="Arial"/>
          <w:sz w:val="20"/>
          <w:szCs w:val="20"/>
        </w:rPr>
        <w:t xml:space="preserve">cost of the project being applied for </w:t>
      </w:r>
      <w:r>
        <w:rPr>
          <w:rFonts w:ascii="Arial" w:eastAsia="PMingLiU" w:hAnsi="Arial" w:cs="Arial"/>
          <w:sz w:val="20"/>
          <w:szCs w:val="20"/>
        </w:rPr>
        <w:t xml:space="preserve">until reimbursement transpires. If using other “eligible” grant funds towards the applicant’s required match of 25%, the applicant must demonstrate that grant funds have been awarded/received and can be used in conjunction with </w:t>
      </w:r>
      <w:r w:rsidRPr="009B1DF2">
        <w:rPr>
          <w:rFonts w:ascii="Arial" w:eastAsia="PMingLiU" w:hAnsi="Arial" w:cs="Arial"/>
          <w:sz w:val="20"/>
          <w:szCs w:val="20"/>
        </w:rPr>
        <w:t>VW Trust funds.</w:t>
      </w:r>
    </w:p>
    <w:p w14:paraId="5C5E9717" w14:textId="77777777" w:rsidR="00330BEE" w:rsidRPr="00330BEE" w:rsidRDefault="00330BEE" w:rsidP="00330BEE">
      <w:pPr>
        <w:autoSpaceDE w:val="0"/>
        <w:autoSpaceDN w:val="0"/>
        <w:adjustRightInd w:val="0"/>
        <w:rPr>
          <w:rFonts w:ascii="Arial" w:eastAsia="PMingLiU" w:hAnsi="Arial" w:cs="Arial"/>
          <w:sz w:val="20"/>
          <w:szCs w:val="20"/>
        </w:rPr>
      </w:pPr>
    </w:p>
    <w:p w14:paraId="5896B192" w14:textId="77777777" w:rsidR="00076806" w:rsidRPr="00DB433B" w:rsidRDefault="00076806" w:rsidP="00076806">
      <w:pPr>
        <w:ind w:right="576"/>
        <w:textAlignment w:val="baseline"/>
        <w:rPr>
          <w:rFonts w:ascii="Arial" w:hAnsi="Arial" w:cs="Arial"/>
          <w:b/>
          <w:strike/>
          <w:color w:val="000000"/>
          <w:sz w:val="20"/>
          <w:szCs w:val="20"/>
        </w:rPr>
      </w:pPr>
      <w:r w:rsidRPr="00DB433B">
        <w:rPr>
          <w:rFonts w:ascii="Arial" w:hAnsi="Arial" w:cs="Arial"/>
          <w:b/>
          <w:strike/>
          <w:color w:val="000000"/>
          <w:sz w:val="20"/>
          <w:szCs w:val="20"/>
        </w:rPr>
        <w:t>Competitive Bids</w:t>
      </w:r>
    </w:p>
    <w:p w14:paraId="2827009D" w14:textId="74948BB2" w:rsidR="00076806" w:rsidRDefault="00076806" w:rsidP="00076806">
      <w:pPr>
        <w:ind w:right="576"/>
        <w:textAlignment w:val="baseline"/>
        <w:rPr>
          <w:rFonts w:ascii="Arial" w:hAnsi="Arial" w:cs="Arial"/>
          <w:b/>
          <w:sz w:val="20"/>
          <w:szCs w:val="20"/>
        </w:rPr>
      </w:pPr>
      <w:r w:rsidRPr="00DB433B">
        <w:rPr>
          <w:rFonts w:ascii="Arial" w:hAnsi="Arial" w:cs="Arial"/>
          <w:strike/>
          <w:sz w:val="20"/>
          <w:szCs w:val="20"/>
        </w:rPr>
        <w:t>DEQ must certify to the Trustee of the VW Trust that all vendors are selected in accordance with state public contracting laws.</w:t>
      </w:r>
      <w:r w:rsidRPr="00DB433B">
        <w:rPr>
          <w:strike/>
          <w:color w:val="000000"/>
          <w:sz w:val="23"/>
          <w:szCs w:val="23"/>
        </w:rPr>
        <w:t xml:space="preserve"> </w:t>
      </w:r>
      <w:r w:rsidRPr="00DB433B">
        <w:rPr>
          <w:rFonts w:ascii="Arial" w:hAnsi="Arial" w:cs="Arial"/>
          <w:strike/>
          <w:sz w:val="20"/>
          <w:szCs w:val="20"/>
        </w:rPr>
        <w:t xml:space="preserve">Applicants are required to include a copy of the bid and bid tabulation sheet and an official copy of a price quote from the vendor from whom the applicant proposes to purchase the new vehicles, equipment, engines, etc., and associated charging infrastructure. The quote must be dated within 4 months immediately preceding the date the application is submitted. If awarded funding and the vendor who provided a price quote to accompany the grant application is not the vendor ultimately selected in the competitive purchasing process, the grantee will be required to provide a copy of the competitive solicitation and bid tabulation, and a price quote on letterhead from the new vendor. </w:t>
      </w:r>
      <w:r w:rsidRPr="00DB433B">
        <w:rPr>
          <w:rFonts w:ascii="Arial" w:hAnsi="Arial" w:cs="Arial"/>
          <w:b/>
          <w:strike/>
          <w:sz w:val="20"/>
          <w:szCs w:val="20"/>
        </w:rPr>
        <w:t>Note that DEQ will not increase the funding above the original award amount</w:t>
      </w:r>
      <w:r w:rsidRPr="00BE5147">
        <w:rPr>
          <w:rFonts w:ascii="Arial" w:hAnsi="Arial" w:cs="Arial"/>
          <w:b/>
          <w:sz w:val="20"/>
          <w:szCs w:val="20"/>
        </w:rPr>
        <w:t xml:space="preserve">. </w:t>
      </w:r>
    </w:p>
    <w:p w14:paraId="01C01CF6" w14:textId="77777777" w:rsidR="007E0CE5" w:rsidRDefault="007E0CE5" w:rsidP="00076806">
      <w:pPr>
        <w:ind w:right="576"/>
        <w:textAlignment w:val="baseline"/>
        <w:rPr>
          <w:rFonts w:ascii="Arial" w:hAnsi="Arial" w:cs="Arial"/>
          <w:b/>
          <w:sz w:val="20"/>
          <w:szCs w:val="20"/>
        </w:rPr>
      </w:pPr>
    </w:p>
    <w:p w14:paraId="540CE5B0" w14:textId="2E233B10" w:rsidR="00FA4BBE" w:rsidRPr="002047EC" w:rsidRDefault="00FA4BBE" w:rsidP="00FA4BBE">
      <w:pPr>
        <w:shd w:val="clear" w:color="auto" w:fill="FFFFFF"/>
        <w:ind w:right="576"/>
        <w:textAlignment w:val="baseline"/>
        <w:rPr>
          <w:color w:val="C00000"/>
        </w:rPr>
      </w:pPr>
      <w:r w:rsidRPr="002047EC">
        <w:rPr>
          <w:rFonts w:ascii="Arial" w:hAnsi="Arial" w:cs="Arial"/>
          <w:b/>
          <w:bCs/>
          <w:color w:val="C00000"/>
          <w:sz w:val="20"/>
          <w:szCs w:val="20"/>
        </w:rPr>
        <w:t>Cost E</w:t>
      </w:r>
      <w:r w:rsidR="008734E2" w:rsidRPr="002047EC">
        <w:rPr>
          <w:rFonts w:ascii="Arial" w:hAnsi="Arial" w:cs="Arial"/>
          <w:b/>
          <w:bCs/>
          <w:color w:val="C00000"/>
          <w:sz w:val="20"/>
          <w:szCs w:val="20"/>
        </w:rPr>
        <w:t xml:space="preserve">stimates and Public Procurement and </w:t>
      </w:r>
      <w:r w:rsidRPr="002047EC">
        <w:rPr>
          <w:rFonts w:ascii="Arial" w:hAnsi="Arial" w:cs="Arial"/>
          <w:b/>
          <w:bCs/>
          <w:color w:val="C00000"/>
          <w:sz w:val="20"/>
          <w:szCs w:val="20"/>
        </w:rPr>
        <w:t>Contracting Law</w:t>
      </w:r>
    </w:p>
    <w:p w14:paraId="72C246D6" w14:textId="1320A47D" w:rsidR="008734E2" w:rsidRPr="002047EC" w:rsidRDefault="008734E2" w:rsidP="008734E2">
      <w:pPr>
        <w:pStyle w:val="Default"/>
        <w:rPr>
          <w:rFonts w:ascii="Arial" w:eastAsia="Times New Roman" w:hAnsi="Arial" w:cs="Arial"/>
          <w:color w:val="C00000"/>
          <w:sz w:val="20"/>
          <w:szCs w:val="20"/>
        </w:rPr>
      </w:pPr>
      <w:r w:rsidRPr="002047EC">
        <w:rPr>
          <w:rFonts w:ascii="Arial" w:eastAsia="Times New Roman" w:hAnsi="Arial" w:cs="Arial"/>
          <w:color w:val="C00000"/>
          <w:sz w:val="20"/>
          <w:szCs w:val="20"/>
        </w:rPr>
        <w:t xml:space="preserve">Applicant must provide a detailed cost estimate(s) from the vendor from whom the applicant intends to purchase vehicles, equipment, or engines and associated charging infrastructure. The applicant is responsible for providing proof that the jurisdiction’s public procurement and contracting law were followed. If awarded funding and the vendor who provided a cost estimate to accompany the grant application is not the same vendor selected to purchase products and services from, DEQ will not increase funding above the original award amount.  </w:t>
      </w:r>
    </w:p>
    <w:p w14:paraId="22246E90" w14:textId="77777777" w:rsidR="008734E2" w:rsidRPr="002047EC" w:rsidRDefault="008734E2" w:rsidP="008734E2">
      <w:pPr>
        <w:pStyle w:val="Default"/>
        <w:rPr>
          <w:rFonts w:ascii="Arial" w:eastAsia="Times New Roman" w:hAnsi="Arial" w:cs="Arial"/>
          <w:color w:val="C00000"/>
          <w:sz w:val="20"/>
          <w:szCs w:val="20"/>
        </w:rPr>
      </w:pPr>
      <w:r w:rsidRPr="002047EC">
        <w:rPr>
          <w:rFonts w:ascii="Arial" w:eastAsia="Times New Roman" w:hAnsi="Arial" w:cs="Arial"/>
          <w:color w:val="C00000"/>
          <w:sz w:val="20"/>
          <w:szCs w:val="20"/>
        </w:rPr>
        <w:t xml:space="preserve"> </w:t>
      </w:r>
    </w:p>
    <w:p w14:paraId="6AB256AA" w14:textId="1AE76187" w:rsidR="008734E2" w:rsidRPr="002047EC" w:rsidRDefault="008734E2" w:rsidP="008734E2">
      <w:pPr>
        <w:pStyle w:val="Default"/>
        <w:rPr>
          <w:rFonts w:ascii="Arial" w:eastAsia="Times New Roman" w:hAnsi="Arial" w:cs="Arial"/>
          <w:color w:val="C00000"/>
          <w:sz w:val="20"/>
          <w:szCs w:val="20"/>
        </w:rPr>
      </w:pPr>
      <w:r w:rsidRPr="002047EC">
        <w:rPr>
          <w:rFonts w:ascii="Arial" w:eastAsia="Times New Roman" w:hAnsi="Arial" w:cs="Arial"/>
          <w:color w:val="C00000"/>
          <w:sz w:val="20"/>
          <w:szCs w:val="20"/>
        </w:rPr>
        <w:t>If purchasing vehicles, equipment, or engines and associated c</w:t>
      </w:r>
      <w:r w:rsidR="0061464A" w:rsidRPr="002047EC">
        <w:rPr>
          <w:rFonts w:ascii="Arial" w:eastAsia="Times New Roman" w:hAnsi="Arial" w:cs="Arial"/>
          <w:color w:val="C00000"/>
          <w:sz w:val="20"/>
          <w:szCs w:val="20"/>
        </w:rPr>
        <w:t>harging infrastructure from a</w:t>
      </w:r>
      <w:r w:rsidR="00BB6106" w:rsidRPr="002047EC">
        <w:rPr>
          <w:rFonts w:ascii="Arial" w:eastAsia="Times New Roman" w:hAnsi="Arial" w:cs="Arial"/>
          <w:color w:val="C00000"/>
          <w:sz w:val="20"/>
          <w:szCs w:val="20"/>
        </w:rPr>
        <w:t xml:space="preserve"> current </w:t>
      </w:r>
      <w:r w:rsidRPr="002047EC">
        <w:rPr>
          <w:rFonts w:ascii="Arial" w:eastAsia="Times New Roman" w:hAnsi="Arial" w:cs="Arial"/>
          <w:color w:val="C00000"/>
          <w:sz w:val="20"/>
          <w:szCs w:val="20"/>
        </w:rPr>
        <w:t>public contract, applicant must provide actual pricing for the vehicles, equipmen</w:t>
      </w:r>
      <w:r w:rsidR="00C5298D" w:rsidRPr="002047EC">
        <w:rPr>
          <w:rFonts w:ascii="Arial" w:eastAsia="Times New Roman" w:hAnsi="Arial" w:cs="Arial"/>
          <w:color w:val="C00000"/>
          <w:sz w:val="20"/>
          <w:szCs w:val="20"/>
        </w:rPr>
        <w:t>t</w:t>
      </w:r>
      <w:r w:rsidRPr="002047EC">
        <w:rPr>
          <w:rFonts w:ascii="Arial" w:eastAsia="Times New Roman" w:hAnsi="Arial" w:cs="Arial"/>
          <w:color w:val="C00000"/>
          <w:sz w:val="20"/>
          <w:szCs w:val="20"/>
        </w:rPr>
        <w:t xml:space="preserve"> or engines and associated charging infrastructure (if applicable) that the applicant intends to purchase. The applicant is responsible for providing proof that the jurisdiction’s public procurement and contracting law were followed. If awarded funding, DEQ will not increase funding above the original award amount.  </w:t>
      </w:r>
    </w:p>
    <w:p w14:paraId="56B3951E" w14:textId="77777777" w:rsidR="008734E2" w:rsidRPr="002047EC" w:rsidRDefault="008734E2" w:rsidP="008734E2">
      <w:pPr>
        <w:pStyle w:val="Default"/>
        <w:rPr>
          <w:rFonts w:ascii="Arial" w:eastAsia="Times New Roman" w:hAnsi="Arial" w:cs="Arial"/>
          <w:color w:val="C00000"/>
          <w:sz w:val="20"/>
          <w:szCs w:val="20"/>
        </w:rPr>
      </w:pPr>
      <w:r w:rsidRPr="002047EC">
        <w:rPr>
          <w:rFonts w:ascii="Arial" w:eastAsia="Times New Roman" w:hAnsi="Arial" w:cs="Arial"/>
          <w:color w:val="C00000"/>
          <w:sz w:val="20"/>
          <w:szCs w:val="20"/>
        </w:rPr>
        <w:t xml:space="preserve"> </w:t>
      </w:r>
    </w:p>
    <w:p w14:paraId="426C862D" w14:textId="545E91DE" w:rsidR="008734E2" w:rsidRPr="002047EC" w:rsidRDefault="008734E2" w:rsidP="008734E2">
      <w:pPr>
        <w:pStyle w:val="Default"/>
        <w:rPr>
          <w:rFonts w:ascii="Arial" w:eastAsia="Times New Roman" w:hAnsi="Arial" w:cs="Arial"/>
          <w:color w:val="C00000"/>
          <w:sz w:val="20"/>
          <w:szCs w:val="20"/>
        </w:rPr>
      </w:pPr>
      <w:r w:rsidRPr="002047EC">
        <w:rPr>
          <w:rFonts w:ascii="Arial" w:eastAsia="Times New Roman" w:hAnsi="Arial" w:cs="Arial"/>
          <w:color w:val="C00000"/>
          <w:sz w:val="20"/>
          <w:szCs w:val="20"/>
        </w:rPr>
        <w:t>Applicant must certify that vehicles, equipment, or engines and associated charging infrastructure presented for funding in the application were/will be procured in accordance with the jurisdiction’s public procur</w:t>
      </w:r>
      <w:r w:rsidR="0041114C" w:rsidRPr="002047EC">
        <w:rPr>
          <w:rFonts w:ascii="Arial" w:eastAsia="Times New Roman" w:hAnsi="Arial" w:cs="Arial"/>
          <w:color w:val="C00000"/>
          <w:sz w:val="20"/>
          <w:szCs w:val="20"/>
        </w:rPr>
        <w:t xml:space="preserve">ement and contracting law, </w:t>
      </w:r>
      <w:r w:rsidRPr="002047EC">
        <w:rPr>
          <w:rFonts w:ascii="Arial" w:eastAsia="Times New Roman" w:hAnsi="Arial" w:cs="Arial"/>
          <w:color w:val="C00000"/>
          <w:sz w:val="20"/>
          <w:szCs w:val="20"/>
        </w:rPr>
        <w:t xml:space="preserve">that the applicant </w:t>
      </w:r>
      <w:r w:rsidR="00146F86" w:rsidRPr="002047EC">
        <w:rPr>
          <w:rFonts w:ascii="Arial" w:eastAsia="Times New Roman" w:hAnsi="Arial" w:cs="Arial"/>
          <w:color w:val="C00000"/>
          <w:sz w:val="20"/>
          <w:szCs w:val="20"/>
        </w:rPr>
        <w:t>will provide</w:t>
      </w:r>
      <w:r w:rsidRPr="002047EC">
        <w:rPr>
          <w:rFonts w:ascii="Arial" w:eastAsia="Times New Roman" w:hAnsi="Arial" w:cs="Arial"/>
          <w:color w:val="C00000"/>
          <w:sz w:val="20"/>
          <w:szCs w:val="20"/>
        </w:rPr>
        <w:t xml:space="preserve"> proof that the jurisdiction’s public procurement and contracting law were followed</w:t>
      </w:r>
      <w:r w:rsidR="0041114C" w:rsidRPr="002047EC">
        <w:rPr>
          <w:rFonts w:ascii="Arial" w:eastAsia="Times New Roman" w:hAnsi="Arial" w:cs="Arial"/>
          <w:color w:val="C00000"/>
          <w:sz w:val="20"/>
          <w:szCs w:val="20"/>
        </w:rPr>
        <w:t xml:space="preserve">, and </w:t>
      </w:r>
      <w:r w:rsidRPr="002047EC">
        <w:rPr>
          <w:rFonts w:ascii="Arial" w:eastAsia="Times New Roman" w:hAnsi="Arial" w:cs="Arial"/>
          <w:color w:val="C00000"/>
          <w:sz w:val="20"/>
          <w:szCs w:val="20"/>
        </w:rPr>
        <w:t xml:space="preserve">if awarded funding, the applicant </w:t>
      </w:r>
      <w:r w:rsidR="00234B0F" w:rsidRPr="002047EC">
        <w:rPr>
          <w:rFonts w:ascii="Arial" w:eastAsia="Times New Roman" w:hAnsi="Arial" w:cs="Arial"/>
          <w:color w:val="C00000"/>
          <w:sz w:val="20"/>
          <w:szCs w:val="20"/>
        </w:rPr>
        <w:t xml:space="preserve">must certify that it </w:t>
      </w:r>
      <w:r w:rsidR="0041114C" w:rsidRPr="002047EC">
        <w:rPr>
          <w:rFonts w:ascii="Arial" w:hAnsi="Arial" w:cs="Arial"/>
          <w:color w:val="C00000"/>
          <w:sz w:val="20"/>
          <w:szCs w:val="20"/>
        </w:rPr>
        <w:t xml:space="preserve">understands that if the vendor who provided the cost estimate or the public contract used for pricing and submitted with the application is not the same vendor/contract that is used to purchase vehicles, equipment or engines and associated charging infrastructure, DEQ will not increase the funding above the original award amount and that it understands that </w:t>
      </w:r>
      <w:r w:rsidRPr="002047EC">
        <w:rPr>
          <w:rFonts w:ascii="Arial" w:eastAsia="Times New Roman" w:hAnsi="Arial" w:cs="Arial"/>
          <w:color w:val="C00000"/>
          <w:sz w:val="20"/>
          <w:szCs w:val="20"/>
        </w:rPr>
        <w:t>all or part of the project expenses presented for reimbursement were not procured or contracted in a manner compliant with the jurisdiction’s public procurement and contracting law, those vehicles, equipment, or engines and associated charging infrastructure are ineligible for reimbursement</w:t>
      </w:r>
      <w:r w:rsidR="00C5298D" w:rsidRPr="002047EC">
        <w:rPr>
          <w:rFonts w:ascii="Arial" w:eastAsia="Times New Roman" w:hAnsi="Arial" w:cs="Arial"/>
          <w:color w:val="C00000"/>
          <w:sz w:val="20"/>
          <w:szCs w:val="20"/>
        </w:rPr>
        <w:t xml:space="preserve"> through CACP</w:t>
      </w:r>
      <w:r w:rsidRPr="002047EC">
        <w:rPr>
          <w:rFonts w:ascii="Arial" w:eastAsia="Times New Roman" w:hAnsi="Arial" w:cs="Arial"/>
          <w:color w:val="C00000"/>
          <w:sz w:val="20"/>
          <w:szCs w:val="20"/>
        </w:rPr>
        <w:t xml:space="preserve"> (see </w:t>
      </w:r>
      <w:r w:rsidR="00C5298D" w:rsidRPr="002047EC">
        <w:rPr>
          <w:rFonts w:ascii="Arial" w:eastAsia="Times New Roman" w:hAnsi="Arial" w:cs="Arial"/>
          <w:color w:val="C00000"/>
          <w:sz w:val="20"/>
          <w:szCs w:val="20"/>
        </w:rPr>
        <w:t xml:space="preserve">Appendix </w:t>
      </w:r>
      <w:r w:rsidRPr="002047EC">
        <w:rPr>
          <w:rFonts w:ascii="Arial" w:eastAsia="Times New Roman" w:hAnsi="Arial" w:cs="Arial"/>
          <w:color w:val="C00000"/>
          <w:sz w:val="20"/>
          <w:szCs w:val="20"/>
        </w:rPr>
        <w:t xml:space="preserve">F: Statement of Certification). </w:t>
      </w:r>
    </w:p>
    <w:p w14:paraId="1BFCCC91" w14:textId="77777777" w:rsidR="00E81BDC" w:rsidRPr="00FA4BBE" w:rsidRDefault="00E81BDC" w:rsidP="00DB433B">
      <w:pPr>
        <w:pStyle w:val="Default"/>
        <w:rPr>
          <w:rFonts w:ascii="Arial" w:eastAsia="Times New Roman" w:hAnsi="Arial" w:cs="Arial"/>
          <w:color w:val="FF0000"/>
          <w:sz w:val="20"/>
          <w:szCs w:val="20"/>
        </w:rPr>
      </w:pPr>
    </w:p>
    <w:p w14:paraId="4B1C1FFA" w14:textId="4E1962C4" w:rsidR="00076806" w:rsidRPr="00BE5147" w:rsidRDefault="00076806" w:rsidP="00076806">
      <w:pPr>
        <w:autoSpaceDE w:val="0"/>
        <w:autoSpaceDN w:val="0"/>
        <w:adjustRightInd w:val="0"/>
        <w:rPr>
          <w:rFonts w:ascii="Arial" w:eastAsia="PMingLiU" w:hAnsi="Arial" w:cs="Arial"/>
          <w:b/>
          <w:sz w:val="20"/>
          <w:szCs w:val="20"/>
        </w:rPr>
      </w:pPr>
      <w:r w:rsidRPr="00BE5147">
        <w:rPr>
          <w:rFonts w:ascii="Arial" w:eastAsia="PMingLiU" w:hAnsi="Arial" w:cs="Arial"/>
          <w:b/>
          <w:sz w:val="20"/>
          <w:szCs w:val="20"/>
        </w:rPr>
        <w:t>Ineligible Costs</w:t>
      </w:r>
    </w:p>
    <w:p w14:paraId="311E5E3D" w14:textId="13B2BD7D" w:rsidR="00076806" w:rsidRPr="00BE5147" w:rsidRDefault="00076806" w:rsidP="00076806">
      <w:pPr>
        <w:autoSpaceDE w:val="0"/>
        <w:autoSpaceDN w:val="0"/>
        <w:adjustRightInd w:val="0"/>
        <w:rPr>
          <w:rFonts w:ascii="Arial" w:eastAsia="PMingLiU" w:hAnsi="Arial" w:cs="Arial"/>
          <w:sz w:val="20"/>
          <w:szCs w:val="20"/>
        </w:rPr>
      </w:pPr>
      <w:r w:rsidRPr="00BE5147">
        <w:rPr>
          <w:rFonts w:ascii="Arial" w:eastAsia="PMingLiU" w:hAnsi="Arial" w:cs="Arial"/>
          <w:sz w:val="20"/>
          <w:szCs w:val="20"/>
        </w:rPr>
        <w:t xml:space="preserve">The costs of preparing and submitting applications in response to this Request for Applications are solely the responsibility of the applicant. The program shall not reimburse or contribute, in any way, to the cost of the preparation and submittal of the application. </w:t>
      </w:r>
    </w:p>
    <w:p w14:paraId="75122665" w14:textId="77777777" w:rsidR="00076806" w:rsidRPr="00BE5147" w:rsidRDefault="00076806" w:rsidP="00076806">
      <w:pPr>
        <w:autoSpaceDE w:val="0"/>
        <w:autoSpaceDN w:val="0"/>
        <w:adjustRightInd w:val="0"/>
        <w:rPr>
          <w:rFonts w:ascii="Arial" w:eastAsia="PMingLiU" w:hAnsi="Arial" w:cs="Arial"/>
          <w:sz w:val="20"/>
          <w:szCs w:val="20"/>
        </w:rPr>
      </w:pPr>
    </w:p>
    <w:p w14:paraId="5457E188" w14:textId="77777777" w:rsidR="00076806" w:rsidRPr="00BE5147" w:rsidRDefault="00076806" w:rsidP="00076806">
      <w:pPr>
        <w:autoSpaceDE w:val="0"/>
        <w:autoSpaceDN w:val="0"/>
        <w:adjustRightInd w:val="0"/>
        <w:rPr>
          <w:rFonts w:ascii="Arial" w:eastAsia="PMingLiU" w:hAnsi="Arial" w:cs="Arial"/>
          <w:sz w:val="20"/>
          <w:szCs w:val="20"/>
        </w:rPr>
      </w:pPr>
      <w:r w:rsidRPr="00BE5147">
        <w:rPr>
          <w:rFonts w:ascii="Arial" w:eastAsia="PMingLiU" w:hAnsi="Arial" w:cs="Arial"/>
          <w:iCs/>
          <w:sz w:val="20"/>
          <w:szCs w:val="20"/>
        </w:rPr>
        <w:t>Ineligible</w:t>
      </w:r>
      <w:r w:rsidRPr="00BE5147">
        <w:rPr>
          <w:rFonts w:ascii="Arial" w:eastAsia="PMingLiU" w:hAnsi="Arial" w:cs="Arial"/>
          <w:i/>
          <w:iCs/>
          <w:sz w:val="20"/>
          <w:szCs w:val="20"/>
        </w:rPr>
        <w:t xml:space="preserve"> </w:t>
      </w:r>
      <w:r w:rsidRPr="00BE5147">
        <w:rPr>
          <w:rFonts w:ascii="Arial" w:eastAsia="PMingLiU" w:hAnsi="Arial" w:cs="Arial"/>
          <w:sz w:val="20"/>
          <w:szCs w:val="20"/>
        </w:rPr>
        <w:t xml:space="preserve">costs include but may not be limited to: </w:t>
      </w:r>
    </w:p>
    <w:p w14:paraId="4A740D86" w14:textId="77777777" w:rsidR="00076806" w:rsidRPr="00BE5147" w:rsidRDefault="00076806" w:rsidP="00076806">
      <w:pPr>
        <w:pStyle w:val="ListParagraph"/>
        <w:numPr>
          <w:ilvl w:val="0"/>
          <w:numId w:val="7"/>
        </w:numPr>
        <w:autoSpaceDE w:val="0"/>
        <w:autoSpaceDN w:val="0"/>
        <w:adjustRightInd w:val="0"/>
        <w:spacing w:after="24" w:line="240" w:lineRule="auto"/>
        <w:rPr>
          <w:rFonts w:ascii="Arial" w:hAnsi="Arial" w:cs="Arial"/>
          <w:sz w:val="20"/>
          <w:szCs w:val="20"/>
        </w:rPr>
      </w:pPr>
      <w:r w:rsidRPr="00BE5147">
        <w:rPr>
          <w:rFonts w:ascii="Arial" w:hAnsi="Arial" w:cs="Arial"/>
          <w:sz w:val="20"/>
          <w:szCs w:val="20"/>
        </w:rPr>
        <w:t xml:space="preserve">Operating expenses and fuel costs. </w:t>
      </w:r>
    </w:p>
    <w:p w14:paraId="6137B5D4" w14:textId="77777777" w:rsidR="00076806" w:rsidRPr="00BE5147" w:rsidRDefault="00076806" w:rsidP="00076806">
      <w:pPr>
        <w:pStyle w:val="ListParagraph"/>
        <w:numPr>
          <w:ilvl w:val="0"/>
          <w:numId w:val="7"/>
        </w:numPr>
        <w:autoSpaceDE w:val="0"/>
        <w:autoSpaceDN w:val="0"/>
        <w:adjustRightInd w:val="0"/>
        <w:spacing w:after="24" w:line="240" w:lineRule="auto"/>
        <w:rPr>
          <w:rFonts w:ascii="Arial" w:hAnsi="Arial" w:cs="Arial"/>
          <w:sz w:val="20"/>
          <w:szCs w:val="20"/>
        </w:rPr>
      </w:pPr>
      <w:r w:rsidRPr="00BE5147">
        <w:rPr>
          <w:rFonts w:ascii="Arial" w:hAnsi="Arial" w:cs="Arial"/>
          <w:sz w:val="20"/>
          <w:szCs w:val="20"/>
        </w:rPr>
        <w:t xml:space="preserve">Any project required by any law or other legally binding agreement. </w:t>
      </w:r>
    </w:p>
    <w:p w14:paraId="3147724A" w14:textId="77777777" w:rsidR="00076806" w:rsidRPr="00BE5147" w:rsidRDefault="00076806" w:rsidP="00076806">
      <w:pPr>
        <w:pStyle w:val="ListParagraph"/>
        <w:numPr>
          <w:ilvl w:val="0"/>
          <w:numId w:val="7"/>
        </w:numPr>
        <w:autoSpaceDE w:val="0"/>
        <w:autoSpaceDN w:val="0"/>
        <w:adjustRightInd w:val="0"/>
        <w:spacing w:after="24" w:line="240" w:lineRule="auto"/>
        <w:rPr>
          <w:rFonts w:ascii="Arial" w:hAnsi="Arial" w:cs="Arial"/>
          <w:sz w:val="20"/>
          <w:szCs w:val="20"/>
        </w:rPr>
      </w:pPr>
      <w:r w:rsidRPr="00BE5147">
        <w:rPr>
          <w:rFonts w:ascii="Arial" w:hAnsi="Arial" w:cs="Arial"/>
          <w:sz w:val="20"/>
          <w:szCs w:val="20"/>
        </w:rPr>
        <w:t xml:space="preserve">Work done or purchases made prior to official notice of DEQ project authorization. </w:t>
      </w:r>
    </w:p>
    <w:p w14:paraId="1CF8466B" w14:textId="77777777" w:rsidR="00076806" w:rsidRPr="00BE5147" w:rsidRDefault="00076806" w:rsidP="00076806">
      <w:pPr>
        <w:pStyle w:val="ListParagraph"/>
        <w:numPr>
          <w:ilvl w:val="0"/>
          <w:numId w:val="7"/>
        </w:numPr>
        <w:autoSpaceDE w:val="0"/>
        <w:autoSpaceDN w:val="0"/>
        <w:adjustRightInd w:val="0"/>
        <w:spacing w:after="24" w:line="240" w:lineRule="auto"/>
        <w:rPr>
          <w:rFonts w:ascii="Arial" w:hAnsi="Arial" w:cs="Arial"/>
          <w:sz w:val="20"/>
          <w:szCs w:val="20"/>
        </w:rPr>
      </w:pPr>
      <w:r w:rsidRPr="00BE5147">
        <w:rPr>
          <w:rFonts w:ascii="Arial" w:hAnsi="Arial" w:cs="Arial"/>
          <w:sz w:val="20"/>
          <w:szCs w:val="20"/>
        </w:rPr>
        <w:t xml:space="preserve">Costs incurred for work or purchases not included in the approved project scope. </w:t>
      </w:r>
    </w:p>
    <w:p w14:paraId="7BB23FEC" w14:textId="77777777" w:rsidR="00076806" w:rsidRPr="00BE5147" w:rsidRDefault="00076806" w:rsidP="00076806">
      <w:pPr>
        <w:pStyle w:val="ListParagraph"/>
        <w:numPr>
          <w:ilvl w:val="0"/>
          <w:numId w:val="7"/>
        </w:numPr>
        <w:autoSpaceDE w:val="0"/>
        <w:autoSpaceDN w:val="0"/>
        <w:adjustRightInd w:val="0"/>
        <w:spacing w:after="24" w:line="240" w:lineRule="auto"/>
        <w:rPr>
          <w:rFonts w:ascii="Arial" w:hAnsi="Arial" w:cs="Arial"/>
          <w:sz w:val="20"/>
          <w:szCs w:val="20"/>
        </w:rPr>
      </w:pPr>
      <w:r w:rsidRPr="00BE5147">
        <w:rPr>
          <w:rFonts w:ascii="Arial" w:hAnsi="Arial" w:cs="Arial"/>
          <w:sz w:val="20"/>
          <w:szCs w:val="20"/>
        </w:rPr>
        <w:t>Installation costs incurred from in-kind services.</w:t>
      </w:r>
    </w:p>
    <w:p w14:paraId="29F5EEB9" w14:textId="34506C17" w:rsidR="000C1EE6" w:rsidRPr="00BE5147" w:rsidRDefault="00076806" w:rsidP="00BE5147">
      <w:pPr>
        <w:pStyle w:val="ListParagraph"/>
        <w:numPr>
          <w:ilvl w:val="0"/>
          <w:numId w:val="7"/>
        </w:numPr>
        <w:autoSpaceDE w:val="0"/>
        <w:autoSpaceDN w:val="0"/>
        <w:adjustRightInd w:val="0"/>
        <w:spacing w:after="200" w:line="240" w:lineRule="auto"/>
        <w:rPr>
          <w:rFonts w:ascii="Arial" w:hAnsi="Arial" w:cs="Arial"/>
          <w:sz w:val="20"/>
          <w:szCs w:val="20"/>
        </w:rPr>
      </w:pPr>
      <w:r w:rsidRPr="00BE5147">
        <w:rPr>
          <w:rFonts w:ascii="Arial" w:hAnsi="Arial" w:cs="Arial"/>
          <w:sz w:val="20"/>
          <w:szCs w:val="20"/>
        </w:rPr>
        <w:lastRenderedPageBreak/>
        <w:t xml:space="preserve">Administrative costs. </w:t>
      </w:r>
    </w:p>
    <w:p w14:paraId="0ADE2665" w14:textId="27FBF917" w:rsidR="0062645C" w:rsidRPr="00BE5147" w:rsidRDefault="00076806">
      <w:pPr>
        <w:shd w:val="clear" w:color="auto" w:fill="FFFFFF"/>
        <w:rPr>
          <w:rFonts w:ascii="Arial" w:hAnsi="Arial" w:cs="Arial"/>
          <w:b/>
          <w:color w:val="000000"/>
          <w:sz w:val="20"/>
          <w:szCs w:val="20"/>
        </w:rPr>
      </w:pPr>
      <w:r w:rsidRPr="00BE5147">
        <w:rPr>
          <w:rFonts w:ascii="Arial" w:hAnsi="Arial" w:cs="Arial"/>
          <w:b/>
          <w:color w:val="000000"/>
          <w:sz w:val="20"/>
          <w:szCs w:val="20"/>
        </w:rPr>
        <w:t>Reimbursement Policy</w:t>
      </w:r>
    </w:p>
    <w:p w14:paraId="047797DF" w14:textId="77777777" w:rsidR="00076806" w:rsidRPr="00BE5147" w:rsidRDefault="00076806" w:rsidP="00076806">
      <w:pPr>
        <w:autoSpaceDE w:val="0"/>
        <w:autoSpaceDN w:val="0"/>
        <w:adjustRightInd w:val="0"/>
        <w:rPr>
          <w:rFonts w:ascii="Arial" w:hAnsi="Arial" w:cs="Arial"/>
          <w:color w:val="000000"/>
          <w:sz w:val="20"/>
          <w:szCs w:val="20"/>
        </w:rPr>
      </w:pPr>
      <w:r w:rsidRPr="00BE5147">
        <w:rPr>
          <w:rFonts w:ascii="Arial" w:hAnsi="Arial" w:cs="Arial"/>
          <w:color w:val="000000"/>
          <w:sz w:val="20"/>
          <w:szCs w:val="20"/>
        </w:rPr>
        <w:t xml:space="preserve">This is a reimbursement program and applicants must provide their own funding to cover expenses as they are incurred. Applicants awarded funding may be reimbursed in two stages if all requirements for reimbursement have been satisfied. Requirements include but are not limited to the following: </w:t>
      </w:r>
    </w:p>
    <w:p w14:paraId="7B09EC4C" w14:textId="77777777" w:rsidR="00076806" w:rsidRPr="00BE5147" w:rsidRDefault="00076806" w:rsidP="00076806">
      <w:pPr>
        <w:autoSpaceDE w:val="0"/>
        <w:autoSpaceDN w:val="0"/>
        <w:adjustRightInd w:val="0"/>
        <w:rPr>
          <w:rFonts w:ascii="Arial" w:hAnsi="Arial" w:cs="Arial"/>
          <w:color w:val="000000"/>
          <w:sz w:val="20"/>
          <w:szCs w:val="20"/>
        </w:rPr>
      </w:pPr>
    </w:p>
    <w:p w14:paraId="46BB18D8" w14:textId="77777777" w:rsidR="00076806" w:rsidRPr="00BE5147" w:rsidRDefault="00076806" w:rsidP="00076806">
      <w:pPr>
        <w:autoSpaceDE w:val="0"/>
        <w:autoSpaceDN w:val="0"/>
        <w:adjustRightInd w:val="0"/>
        <w:ind w:left="432"/>
        <w:rPr>
          <w:rFonts w:ascii="Arial" w:hAnsi="Arial" w:cs="Arial"/>
          <w:color w:val="000000"/>
          <w:sz w:val="20"/>
          <w:szCs w:val="20"/>
        </w:rPr>
      </w:pPr>
      <w:r w:rsidRPr="00BE5147">
        <w:rPr>
          <w:rFonts w:ascii="Arial" w:hAnsi="Arial" w:cs="Arial"/>
          <w:b/>
          <w:color w:val="000000"/>
          <w:sz w:val="20"/>
          <w:szCs w:val="20"/>
        </w:rPr>
        <w:t>Stage 1</w:t>
      </w:r>
      <w:r w:rsidRPr="00BE5147">
        <w:rPr>
          <w:rFonts w:ascii="Arial" w:hAnsi="Arial" w:cs="Arial"/>
          <w:color w:val="000000"/>
          <w:sz w:val="20"/>
          <w:szCs w:val="20"/>
        </w:rPr>
        <w:t xml:space="preserve">: Up to 50% of the amount authorized for the project after the  grantee submits a copy of the original purchase order and acceptable documentation to show that eligible expenses have been paid by the  grantee, and </w:t>
      </w:r>
    </w:p>
    <w:p w14:paraId="12B4EC6A" w14:textId="77777777" w:rsidR="00076806" w:rsidRPr="00BE5147" w:rsidRDefault="00076806" w:rsidP="00076806">
      <w:pPr>
        <w:autoSpaceDE w:val="0"/>
        <w:autoSpaceDN w:val="0"/>
        <w:adjustRightInd w:val="0"/>
        <w:ind w:left="432"/>
        <w:rPr>
          <w:rFonts w:ascii="Arial" w:hAnsi="Arial" w:cs="Arial"/>
          <w:color w:val="000000"/>
          <w:sz w:val="20"/>
          <w:szCs w:val="20"/>
        </w:rPr>
      </w:pPr>
      <w:r w:rsidRPr="00BE5147">
        <w:rPr>
          <w:rFonts w:ascii="Arial" w:hAnsi="Arial" w:cs="Arial"/>
          <w:b/>
          <w:color w:val="000000"/>
          <w:sz w:val="20"/>
          <w:szCs w:val="20"/>
        </w:rPr>
        <w:t>Stage 2</w:t>
      </w:r>
      <w:r w:rsidRPr="00BE5147">
        <w:rPr>
          <w:rFonts w:ascii="Arial" w:hAnsi="Arial" w:cs="Arial"/>
          <w:color w:val="000000"/>
          <w:sz w:val="20"/>
          <w:szCs w:val="20"/>
        </w:rPr>
        <w:t xml:space="preserve">: Remaining authorized amount for the project after the  grantee submits acceptable documentation to show that eligible expenses have already been paid by the  grantee, and that old vehicles, engines, and equipment have been properly decommissioned. </w:t>
      </w:r>
    </w:p>
    <w:p w14:paraId="41DE5F19" w14:textId="77777777" w:rsidR="00076806" w:rsidRPr="00BE5147" w:rsidRDefault="00076806" w:rsidP="00076806">
      <w:pPr>
        <w:shd w:val="clear" w:color="auto" w:fill="FFFFFF"/>
        <w:rPr>
          <w:rFonts w:ascii="Arial" w:hAnsi="Arial" w:cs="Arial"/>
          <w:color w:val="000000"/>
          <w:sz w:val="20"/>
          <w:szCs w:val="20"/>
        </w:rPr>
      </w:pPr>
    </w:p>
    <w:p w14:paraId="0AF30B97" w14:textId="77777777" w:rsidR="00076806" w:rsidRPr="00BE5147" w:rsidRDefault="00076806" w:rsidP="00076806">
      <w:pPr>
        <w:shd w:val="clear" w:color="auto" w:fill="FFFFFF"/>
        <w:rPr>
          <w:rFonts w:ascii="Arial" w:hAnsi="Arial" w:cs="Arial"/>
          <w:color w:val="000000"/>
          <w:sz w:val="20"/>
          <w:szCs w:val="20"/>
        </w:rPr>
      </w:pPr>
      <w:r w:rsidRPr="00BE5147">
        <w:rPr>
          <w:rFonts w:ascii="Arial" w:hAnsi="Arial" w:cs="Arial"/>
          <w:color w:val="000000"/>
          <w:sz w:val="20"/>
          <w:szCs w:val="20"/>
        </w:rPr>
        <w:t xml:space="preserve">CACP funds may not be used to reimburse recipients for any expenses prior to the execution of a grant agreement and obtaining DEQ authorization to proceed with approved project scope. </w:t>
      </w:r>
    </w:p>
    <w:p w14:paraId="29105A9A" w14:textId="77777777" w:rsidR="00076806" w:rsidRPr="00BE5147" w:rsidRDefault="00076806" w:rsidP="00076806">
      <w:pPr>
        <w:autoSpaceDE w:val="0"/>
        <w:autoSpaceDN w:val="0"/>
        <w:adjustRightInd w:val="0"/>
        <w:rPr>
          <w:rFonts w:ascii="Arial" w:eastAsia="PMingLiU" w:hAnsi="Arial" w:cs="Arial"/>
          <w:b/>
          <w:bCs/>
          <w:sz w:val="20"/>
          <w:szCs w:val="20"/>
        </w:rPr>
      </w:pPr>
    </w:p>
    <w:p w14:paraId="1ADA06DE" w14:textId="4E38FF1C" w:rsidR="00826135" w:rsidRDefault="00076806" w:rsidP="00076806">
      <w:pPr>
        <w:autoSpaceDE w:val="0"/>
        <w:autoSpaceDN w:val="0"/>
        <w:adjustRightInd w:val="0"/>
        <w:rPr>
          <w:rFonts w:ascii="Arial" w:eastAsia="PMingLiU" w:hAnsi="Arial" w:cs="Arial"/>
          <w:color w:val="000000"/>
          <w:sz w:val="20"/>
          <w:szCs w:val="20"/>
        </w:rPr>
      </w:pPr>
      <w:r w:rsidRPr="00BE5147">
        <w:rPr>
          <w:rFonts w:ascii="Arial" w:eastAsia="PMingLiU" w:hAnsi="Arial" w:cs="Arial"/>
          <w:b/>
          <w:color w:val="000000"/>
          <w:sz w:val="20"/>
          <w:szCs w:val="20"/>
        </w:rPr>
        <w:t>Leased vehicles</w:t>
      </w:r>
      <w:r w:rsidRPr="00BE5147">
        <w:rPr>
          <w:rFonts w:ascii="Arial" w:eastAsia="PMingLiU" w:hAnsi="Arial" w:cs="Arial"/>
          <w:color w:val="000000"/>
          <w:sz w:val="20"/>
          <w:szCs w:val="20"/>
        </w:rPr>
        <w:t xml:space="preserve"> </w:t>
      </w:r>
    </w:p>
    <w:p w14:paraId="0D774DB7" w14:textId="6ABAC9BB" w:rsidR="00076806" w:rsidRPr="00BE5147" w:rsidRDefault="00076806" w:rsidP="00076806">
      <w:pPr>
        <w:autoSpaceDE w:val="0"/>
        <w:autoSpaceDN w:val="0"/>
        <w:adjustRightInd w:val="0"/>
        <w:rPr>
          <w:rFonts w:ascii="Arial" w:eastAsia="PMingLiU" w:hAnsi="Arial" w:cs="Arial"/>
          <w:color w:val="000000"/>
          <w:sz w:val="20"/>
          <w:szCs w:val="20"/>
        </w:rPr>
      </w:pPr>
      <w:r w:rsidRPr="00BE5147">
        <w:rPr>
          <w:rFonts w:ascii="Arial" w:eastAsia="PMingLiU" w:hAnsi="Arial" w:cs="Arial"/>
          <w:color w:val="000000"/>
          <w:sz w:val="20"/>
          <w:szCs w:val="20"/>
        </w:rPr>
        <w:t xml:space="preserve">Leased vehicles/equipment are not eligible for funding under this program. </w:t>
      </w:r>
    </w:p>
    <w:p w14:paraId="34ED14C3" w14:textId="77777777" w:rsidR="00076806" w:rsidRPr="00BE5147" w:rsidRDefault="00076806" w:rsidP="00076806">
      <w:pPr>
        <w:autoSpaceDE w:val="0"/>
        <w:autoSpaceDN w:val="0"/>
        <w:adjustRightInd w:val="0"/>
        <w:rPr>
          <w:rFonts w:ascii="Arial" w:eastAsia="PMingLiU" w:hAnsi="Arial" w:cs="Arial"/>
          <w:color w:val="000000"/>
          <w:sz w:val="20"/>
          <w:szCs w:val="20"/>
        </w:rPr>
      </w:pPr>
    </w:p>
    <w:p w14:paraId="36C2E807" w14:textId="7831F62D" w:rsidR="00826135" w:rsidRDefault="00076806" w:rsidP="00076806">
      <w:pPr>
        <w:autoSpaceDE w:val="0"/>
        <w:autoSpaceDN w:val="0"/>
        <w:adjustRightInd w:val="0"/>
        <w:rPr>
          <w:rFonts w:ascii="Arial" w:eastAsia="PMingLiU" w:hAnsi="Arial" w:cs="Arial"/>
          <w:color w:val="000000"/>
          <w:sz w:val="20"/>
          <w:szCs w:val="20"/>
        </w:rPr>
      </w:pPr>
      <w:r w:rsidRPr="00BE5147">
        <w:rPr>
          <w:rFonts w:ascii="Arial" w:eastAsia="PMingLiU" w:hAnsi="Arial" w:cs="Arial"/>
          <w:b/>
          <w:color w:val="000000"/>
          <w:sz w:val="20"/>
          <w:szCs w:val="20"/>
        </w:rPr>
        <w:t>Mileage/hours of operation</w:t>
      </w:r>
      <w:r w:rsidRPr="00BE5147">
        <w:rPr>
          <w:rFonts w:ascii="Arial" w:eastAsia="PMingLiU" w:hAnsi="Arial" w:cs="Arial"/>
          <w:color w:val="000000"/>
          <w:sz w:val="20"/>
          <w:szCs w:val="20"/>
        </w:rPr>
        <w:t xml:space="preserve"> </w:t>
      </w:r>
    </w:p>
    <w:p w14:paraId="12C844E7" w14:textId="77E3018B" w:rsidR="00076806" w:rsidRPr="00BE5147" w:rsidRDefault="00076806" w:rsidP="00076806">
      <w:pPr>
        <w:autoSpaceDE w:val="0"/>
        <w:autoSpaceDN w:val="0"/>
        <w:adjustRightInd w:val="0"/>
        <w:rPr>
          <w:rFonts w:ascii="Arial" w:eastAsia="PMingLiU" w:hAnsi="Arial" w:cs="Arial"/>
          <w:color w:val="000000"/>
          <w:sz w:val="20"/>
          <w:szCs w:val="20"/>
        </w:rPr>
      </w:pPr>
      <w:r w:rsidRPr="00BE5147">
        <w:rPr>
          <w:rFonts w:ascii="Arial" w:eastAsia="PMingLiU" w:hAnsi="Arial" w:cs="Arial"/>
          <w:color w:val="000000"/>
          <w:sz w:val="20"/>
          <w:szCs w:val="20"/>
        </w:rPr>
        <w:t xml:space="preserve">To be eligible for funding, all on-road vehicles being replaced must have logged at least 5,000 miles in </w:t>
      </w:r>
      <w:r w:rsidR="001E0C91">
        <w:rPr>
          <w:rFonts w:ascii="Arial" w:eastAsia="PMingLiU" w:hAnsi="Arial" w:cs="Arial"/>
          <w:color w:val="000000"/>
          <w:sz w:val="20"/>
          <w:szCs w:val="20"/>
        </w:rPr>
        <w:t xml:space="preserve">each of </w:t>
      </w:r>
      <w:r w:rsidRPr="00BE5147">
        <w:rPr>
          <w:rFonts w:ascii="Arial" w:eastAsia="PMingLiU" w:hAnsi="Arial" w:cs="Arial"/>
          <w:color w:val="000000"/>
          <w:sz w:val="20"/>
          <w:szCs w:val="20"/>
        </w:rPr>
        <w:t xml:space="preserve">the prior 3 years. Also, all off-road vehicles, engines, and equipment being replaced or repowered (including, but not limited to, switcher locomotives, ferries, tugs and airport ground support equipment) must have logged at least 1,000 hours of operation in </w:t>
      </w:r>
      <w:r w:rsidR="001E0C91">
        <w:rPr>
          <w:rFonts w:ascii="Arial" w:eastAsia="PMingLiU" w:hAnsi="Arial" w:cs="Arial"/>
          <w:color w:val="000000"/>
          <w:sz w:val="20"/>
          <w:szCs w:val="20"/>
        </w:rPr>
        <w:t xml:space="preserve">each of </w:t>
      </w:r>
      <w:r w:rsidRPr="00BE5147">
        <w:rPr>
          <w:rFonts w:ascii="Arial" w:eastAsia="PMingLiU" w:hAnsi="Arial" w:cs="Arial"/>
          <w:color w:val="000000"/>
          <w:sz w:val="20"/>
          <w:szCs w:val="20"/>
        </w:rPr>
        <w:t>the prior 3 years. All on-road vehicles being replaced must be registered in Virginia for operation on public highways at the time of application. This includes vehicles registered in Virginia under the Bureau of Motor Vehicles’ International Registration Plan. Eligible tugs and ferries must be registered with the U.S. Coast Guard at the time of application</w:t>
      </w:r>
      <w:r w:rsidR="00826135" w:rsidRPr="00BE5147">
        <w:rPr>
          <w:rFonts w:ascii="Arial" w:eastAsia="PMingLiU" w:hAnsi="Arial" w:cs="Arial"/>
          <w:color w:val="000000"/>
          <w:sz w:val="20"/>
          <w:szCs w:val="20"/>
        </w:rPr>
        <w:t>.</w:t>
      </w:r>
    </w:p>
    <w:p w14:paraId="71F3EE86" w14:textId="77777777" w:rsidR="00076806" w:rsidRPr="00BE5147" w:rsidRDefault="00076806" w:rsidP="00076806">
      <w:pPr>
        <w:autoSpaceDE w:val="0"/>
        <w:autoSpaceDN w:val="0"/>
        <w:adjustRightInd w:val="0"/>
        <w:rPr>
          <w:rFonts w:ascii="Arial" w:eastAsia="PMingLiU" w:hAnsi="Arial" w:cs="Arial"/>
          <w:color w:val="000000"/>
          <w:sz w:val="20"/>
          <w:szCs w:val="20"/>
        </w:rPr>
      </w:pPr>
    </w:p>
    <w:p w14:paraId="013151D3" w14:textId="33AA10A4" w:rsidR="00826135" w:rsidRPr="00BE5147" w:rsidRDefault="00076806" w:rsidP="00076806">
      <w:pPr>
        <w:autoSpaceDE w:val="0"/>
        <w:autoSpaceDN w:val="0"/>
        <w:adjustRightInd w:val="0"/>
        <w:rPr>
          <w:rFonts w:ascii="Arial" w:eastAsia="PMingLiU" w:hAnsi="Arial" w:cs="Arial"/>
          <w:b/>
          <w:color w:val="000000"/>
          <w:sz w:val="20"/>
          <w:szCs w:val="20"/>
        </w:rPr>
      </w:pPr>
      <w:r w:rsidRPr="00BE5147">
        <w:rPr>
          <w:rFonts w:ascii="Arial" w:eastAsia="PMingLiU" w:hAnsi="Arial" w:cs="Arial"/>
          <w:b/>
          <w:color w:val="000000"/>
          <w:sz w:val="20"/>
          <w:szCs w:val="20"/>
        </w:rPr>
        <w:t xml:space="preserve">Fleet Data Sheet </w:t>
      </w:r>
    </w:p>
    <w:p w14:paraId="36128484" w14:textId="36C6BC44" w:rsidR="00076806" w:rsidRPr="00BE5147" w:rsidRDefault="00076806" w:rsidP="00076806">
      <w:pPr>
        <w:autoSpaceDE w:val="0"/>
        <w:autoSpaceDN w:val="0"/>
        <w:adjustRightInd w:val="0"/>
        <w:rPr>
          <w:rFonts w:ascii="Arial" w:eastAsia="PMingLiU" w:hAnsi="Arial" w:cs="Arial"/>
          <w:color w:val="000000"/>
          <w:sz w:val="20"/>
          <w:szCs w:val="20"/>
        </w:rPr>
      </w:pPr>
      <w:r w:rsidRPr="00BE5147">
        <w:rPr>
          <w:rFonts w:ascii="Arial" w:eastAsia="PMingLiU" w:hAnsi="Arial" w:cs="Arial"/>
          <w:color w:val="000000"/>
          <w:sz w:val="20"/>
          <w:szCs w:val="20"/>
        </w:rPr>
        <w:t>Applicants must complete the Fleet Data Worksheet for each project applied for (see Appendix C).</w:t>
      </w:r>
    </w:p>
    <w:p w14:paraId="6177147E" w14:textId="31E13DC8" w:rsidR="00076806" w:rsidRPr="00BE5147" w:rsidRDefault="00076806" w:rsidP="00076806">
      <w:pPr>
        <w:autoSpaceDE w:val="0"/>
        <w:autoSpaceDN w:val="0"/>
        <w:adjustRightInd w:val="0"/>
        <w:rPr>
          <w:rFonts w:ascii="Arial" w:eastAsia="PMingLiU" w:hAnsi="Arial" w:cs="Arial"/>
          <w:color w:val="000000"/>
          <w:sz w:val="20"/>
          <w:szCs w:val="20"/>
        </w:rPr>
      </w:pPr>
    </w:p>
    <w:p w14:paraId="3C68D9B2" w14:textId="3EE368FD" w:rsidR="00826135" w:rsidRPr="00BE5147" w:rsidRDefault="00826135" w:rsidP="00076806">
      <w:pPr>
        <w:autoSpaceDE w:val="0"/>
        <w:autoSpaceDN w:val="0"/>
        <w:adjustRightInd w:val="0"/>
        <w:rPr>
          <w:rFonts w:ascii="Arial" w:eastAsia="PMingLiU" w:hAnsi="Arial" w:cs="Arial"/>
          <w:b/>
          <w:color w:val="000000"/>
          <w:sz w:val="20"/>
          <w:szCs w:val="20"/>
        </w:rPr>
      </w:pPr>
      <w:r>
        <w:rPr>
          <w:rFonts w:ascii="Arial" w:eastAsia="PMingLiU" w:hAnsi="Arial" w:cs="Arial"/>
          <w:b/>
          <w:color w:val="000000"/>
          <w:sz w:val="20"/>
          <w:szCs w:val="20"/>
        </w:rPr>
        <w:t>S</w:t>
      </w:r>
      <w:r w:rsidRPr="00BE5147">
        <w:rPr>
          <w:rFonts w:ascii="Arial" w:eastAsia="PMingLiU" w:hAnsi="Arial" w:cs="Arial"/>
          <w:b/>
          <w:color w:val="000000"/>
          <w:sz w:val="20"/>
          <w:szCs w:val="20"/>
        </w:rPr>
        <w:t>crappage</w:t>
      </w:r>
      <w:r w:rsidR="00076806" w:rsidRPr="00BE5147">
        <w:rPr>
          <w:rFonts w:ascii="Arial" w:eastAsia="PMingLiU" w:hAnsi="Arial" w:cs="Arial"/>
          <w:b/>
          <w:color w:val="000000"/>
          <w:sz w:val="20"/>
          <w:szCs w:val="20"/>
        </w:rPr>
        <w:t xml:space="preserve"> </w:t>
      </w:r>
    </w:p>
    <w:p w14:paraId="00BD9ABC" w14:textId="773B6399" w:rsidR="00076806" w:rsidRPr="00BE5147" w:rsidRDefault="00076806" w:rsidP="00076806">
      <w:pPr>
        <w:autoSpaceDE w:val="0"/>
        <w:autoSpaceDN w:val="0"/>
        <w:adjustRightInd w:val="0"/>
        <w:rPr>
          <w:rFonts w:ascii="Arial" w:eastAsia="PMingLiU" w:hAnsi="Arial" w:cs="Arial"/>
          <w:color w:val="000000"/>
          <w:sz w:val="20"/>
          <w:szCs w:val="20"/>
        </w:rPr>
      </w:pPr>
      <w:r w:rsidRPr="00BE5147">
        <w:rPr>
          <w:rFonts w:ascii="Arial" w:eastAsia="PMingLiU" w:hAnsi="Arial" w:cs="Arial"/>
          <w:color w:val="000000"/>
          <w:sz w:val="20"/>
          <w:szCs w:val="20"/>
        </w:rPr>
        <w:t xml:space="preserve">All vehicles, engines, or equipment replaced with new vehicles, engines, or equipment, or engines removed for repower, </w:t>
      </w:r>
      <w:r w:rsidRPr="00BE5147">
        <w:rPr>
          <w:rFonts w:ascii="Arial" w:eastAsia="PMingLiU" w:hAnsi="Arial" w:cs="Arial"/>
          <w:i/>
          <w:iCs/>
          <w:color w:val="000000"/>
          <w:sz w:val="20"/>
          <w:szCs w:val="20"/>
        </w:rPr>
        <w:t xml:space="preserve">must be salvaged </w:t>
      </w:r>
      <w:r w:rsidRPr="00BE5147">
        <w:rPr>
          <w:rFonts w:ascii="Arial" w:eastAsia="PMingLiU" w:hAnsi="Arial" w:cs="Arial"/>
          <w:color w:val="000000"/>
          <w:sz w:val="20"/>
          <w:szCs w:val="20"/>
        </w:rPr>
        <w:t xml:space="preserve">within 90 days of possession of the new vehicle, engine, equipment or repowered engine, and all new on-road vehicles must be registered in Virginia for operation on public highways prior to final reimbursement of eligible project costs. This includes vehicles registered in Virginia under the Bureau of Motor Vehicles’ International Registration Plan. Repowered tugs and ferries must be registered with the U.S. Coast Guard prior to final reimbursement of eligible project costs. </w:t>
      </w:r>
    </w:p>
    <w:p w14:paraId="003EA223" w14:textId="77777777" w:rsidR="00076806" w:rsidRPr="00BE5147" w:rsidRDefault="00076806" w:rsidP="00076806">
      <w:pPr>
        <w:autoSpaceDE w:val="0"/>
        <w:autoSpaceDN w:val="0"/>
        <w:adjustRightInd w:val="0"/>
        <w:rPr>
          <w:rFonts w:ascii="Arial" w:hAnsi="Arial" w:cs="Arial"/>
          <w:b/>
          <w:color w:val="000000"/>
          <w:sz w:val="20"/>
          <w:szCs w:val="20"/>
        </w:rPr>
      </w:pPr>
    </w:p>
    <w:p w14:paraId="7A97768B" w14:textId="0A7D33F3" w:rsidR="00076806" w:rsidRPr="00BE5147" w:rsidRDefault="00076806" w:rsidP="00076806">
      <w:pPr>
        <w:autoSpaceDE w:val="0"/>
        <w:autoSpaceDN w:val="0"/>
        <w:adjustRightInd w:val="0"/>
        <w:rPr>
          <w:rFonts w:ascii="Arial" w:hAnsi="Arial" w:cs="Arial"/>
          <w:b/>
          <w:color w:val="000000"/>
          <w:sz w:val="20"/>
          <w:szCs w:val="20"/>
        </w:rPr>
      </w:pPr>
      <w:r w:rsidRPr="00BE5147">
        <w:rPr>
          <w:rFonts w:ascii="Arial" w:hAnsi="Arial" w:cs="Arial"/>
          <w:b/>
          <w:color w:val="000000"/>
          <w:sz w:val="20"/>
          <w:szCs w:val="20"/>
        </w:rPr>
        <w:t>Grant Agreements</w:t>
      </w:r>
    </w:p>
    <w:p w14:paraId="290BE312" w14:textId="2DB53848" w:rsidR="00076806" w:rsidRPr="00BE5147" w:rsidRDefault="00076806" w:rsidP="00076806">
      <w:pPr>
        <w:autoSpaceDE w:val="0"/>
        <w:autoSpaceDN w:val="0"/>
        <w:adjustRightInd w:val="0"/>
        <w:rPr>
          <w:rFonts w:ascii="Arial" w:hAnsi="Arial" w:cs="Arial"/>
          <w:color w:val="000000"/>
          <w:sz w:val="20"/>
          <w:szCs w:val="20"/>
        </w:rPr>
      </w:pPr>
      <w:r w:rsidRPr="00BE5147">
        <w:rPr>
          <w:rFonts w:ascii="Arial" w:hAnsi="Arial" w:cs="Arial"/>
          <w:color w:val="000000"/>
          <w:sz w:val="20"/>
          <w:szCs w:val="20"/>
        </w:rPr>
        <w:t>This Request for Applications is not a grant agreement. Applicants selected for funding are required to enter into a grant agreement with Virginia DEQ, which will include additional requirements (e.g., reporting), terms and conditions, such as but not limited to “</w:t>
      </w:r>
      <w:r w:rsidRPr="00BE5147">
        <w:rPr>
          <w:rFonts w:ascii="Arial" w:hAnsi="Arial" w:cs="Arial"/>
          <w:i/>
          <w:color w:val="000000"/>
          <w:sz w:val="20"/>
          <w:szCs w:val="20"/>
        </w:rPr>
        <w:t>General Terms and Conditions of State Funded Grant Contracts</w:t>
      </w:r>
      <w:r w:rsidRPr="00BE5147">
        <w:rPr>
          <w:rFonts w:ascii="Arial" w:hAnsi="Arial" w:cs="Arial"/>
          <w:color w:val="000000"/>
          <w:sz w:val="20"/>
          <w:szCs w:val="20"/>
        </w:rPr>
        <w:t>” (see Appendix D).</w:t>
      </w:r>
    </w:p>
    <w:p w14:paraId="01C3E118" w14:textId="77777777" w:rsidR="00076806" w:rsidRPr="00BE5147" w:rsidRDefault="00076806" w:rsidP="00076806">
      <w:pPr>
        <w:autoSpaceDE w:val="0"/>
        <w:autoSpaceDN w:val="0"/>
        <w:adjustRightInd w:val="0"/>
        <w:rPr>
          <w:rFonts w:ascii="Arial" w:hAnsi="Arial" w:cs="Arial"/>
          <w:b/>
          <w:color w:val="000000"/>
          <w:sz w:val="20"/>
          <w:szCs w:val="20"/>
        </w:rPr>
      </w:pPr>
    </w:p>
    <w:p w14:paraId="07B072A9" w14:textId="638BB5A2" w:rsidR="00076806" w:rsidRPr="00BE5147" w:rsidRDefault="00076806" w:rsidP="00076806">
      <w:pPr>
        <w:autoSpaceDE w:val="0"/>
        <w:autoSpaceDN w:val="0"/>
        <w:adjustRightInd w:val="0"/>
        <w:rPr>
          <w:rFonts w:ascii="Arial" w:hAnsi="Arial" w:cs="Arial"/>
          <w:b/>
          <w:color w:val="000000"/>
          <w:sz w:val="20"/>
          <w:szCs w:val="20"/>
        </w:rPr>
      </w:pPr>
      <w:r w:rsidRPr="00BE5147">
        <w:rPr>
          <w:rFonts w:ascii="Arial" w:hAnsi="Arial" w:cs="Arial"/>
          <w:b/>
          <w:color w:val="000000"/>
          <w:sz w:val="20"/>
          <w:szCs w:val="20"/>
        </w:rPr>
        <w:t xml:space="preserve">Record Maintenance and Public Information </w:t>
      </w:r>
    </w:p>
    <w:p w14:paraId="6280C512" w14:textId="4D23D8FB" w:rsidR="00076806" w:rsidRPr="00BE5147" w:rsidRDefault="00076806" w:rsidP="00BE5147">
      <w:pPr>
        <w:autoSpaceDE w:val="0"/>
        <w:autoSpaceDN w:val="0"/>
        <w:adjustRightInd w:val="0"/>
        <w:rPr>
          <w:rFonts w:ascii="Arial" w:hAnsi="Arial" w:cs="Arial"/>
          <w:color w:val="000000"/>
          <w:sz w:val="20"/>
          <w:szCs w:val="20"/>
        </w:rPr>
      </w:pPr>
      <w:r w:rsidRPr="00BE5147">
        <w:rPr>
          <w:rFonts w:ascii="Arial" w:hAnsi="Arial" w:cs="Arial"/>
          <w:color w:val="000000"/>
          <w:sz w:val="20"/>
          <w:szCs w:val="20"/>
        </w:rPr>
        <w:t xml:space="preserve">Grantees will be required to maintain all financial and other project related documentation for a period of five years, consistent with the executed grant agreement. Public financing requires transparency and documentation. Applicants should understand that their applications and documentation regarding reimbursed expenses and purchases made with public funds become public records. These records will be provided to the VW Trust and are subject to public record requests and compliance review by DEQ as the oversight agency. This information is not eligible for trade secret protection under Virginia law. </w:t>
      </w:r>
      <w:r w:rsidRPr="00BE5147">
        <w:rPr>
          <w:rFonts w:ascii="Arial" w:hAnsi="Arial" w:cs="Arial"/>
          <w:color w:val="000000"/>
          <w:sz w:val="20"/>
          <w:szCs w:val="20"/>
        </w:rPr>
        <w:lastRenderedPageBreak/>
        <w:t>Documentation regarding funded projects, including invoices submitted and approved for reimbursement, will reside in paper and electronic files at DEQ and may be the subject of a p</w:t>
      </w:r>
      <w:r w:rsidR="00826135" w:rsidRPr="00BE5147">
        <w:rPr>
          <w:rFonts w:ascii="Arial" w:hAnsi="Arial" w:cs="Arial"/>
          <w:color w:val="000000"/>
          <w:sz w:val="20"/>
          <w:szCs w:val="20"/>
        </w:rPr>
        <w:t>ublic records request or audit.</w:t>
      </w:r>
    </w:p>
    <w:p w14:paraId="4D9CF85D" w14:textId="77777777" w:rsidR="00076806" w:rsidRPr="00BE5147" w:rsidRDefault="00076806">
      <w:pPr>
        <w:shd w:val="clear" w:color="auto" w:fill="FFFFFF"/>
        <w:rPr>
          <w:rFonts w:ascii="Arial" w:hAnsi="Arial" w:cs="Arial"/>
          <w:b/>
          <w:color w:val="000000"/>
          <w:sz w:val="20"/>
          <w:szCs w:val="20"/>
        </w:rPr>
      </w:pPr>
    </w:p>
    <w:p w14:paraId="7F772B84" w14:textId="2FA06E92" w:rsidR="00076806" w:rsidRPr="00BE5147" w:rsidRDefault="00076806" w:rsidP="00076806">
      <w:pPr>
        <w:shd w:val="clear" w:color="auto" w:fill="FFFFFF"/>
        <w:rPr>
          <w:rFonts w:ascii="Arial" w:eastAsia="PMingLiU" w:hAnsi="Arial" w:cs="Arial"/>
          <w:b/>
        </w:rPr>
      </w:pPr>
      <w:r w:rsidRPr="00BE5147">
        <w:rPr>
          <w:rFonts w:ascii="Arial" w:eastAsia="PMingLiU" w:hAnsi="Arial" w:cs="Arial"/>
          <w:b/>
        </w:rPr>
        <w:t>Project Selection Criteria</w:t>
      </w:r>
    </w:p>
    <w:p w14:paraId="253CCD30" w14:textId="2ED6444C" w:rsidR="00330BEE" w:rsidRDefault="00076806" w:rsidP="00330BEE">
      <w:pPr>
        <w:shd w:val="clear" w:color="auto" w:fill="FFFFFF"/>
        <w:rPr>
          <w:rFonts w:ascii="Arial" w:eastAsia="PMingLiU" w:hAnsi="Arial" w:cs="Arial"/>
          <w:bCs/>
          <w:sz w:val="20"/>
          <w:szCs w:val="20"/>
        </w:rPr>
      </w:pPr>
      <w:r w:rsidRPr="00BE5147">
        <w:rPr>
          <w:rFonts w:ascii="Arial" w:hAnsi="Arial" w:cs="Arial"/>
          <w:color w:val="000000"/>
          <w:sz w:val="20"/>
          <w:szCs w:val="20"/>
        </w:rPr>
        <w:t>Due to the competitiveness of the program, not all eligible projects will be approved for funding.</w:t>
      </w:r>
      <w:r w:rsidRPr="00BE5147">
        <w:rPr>
          <w:rFonts w:ascii="Arial" w:eastAsia="PMingLiU" w:hAnsi="Arial" w:cs="Arial"/>
          <w:b/>
          <w:bCs/>
          <w:sz w:val="20"/>
          <w:szCs w:val="20"/>
        </w:rPr>
        <w:t xml:space="preserve"> </w:t>
      </w:r>
      <w:r w:rsidRPr="00BE5147">
        <w:rPr>
          <w:rFonts w:ascii="Arial" w:eastAsia="PMingLiU" w:hAnsi="Arial" w:cs="Arial"/>
          <w:bCs/>
          <w:sz w:val="20"/>
          <w:szCs w:val="20"/>
        </w:rPr>
        <w:t>Project selection criteria include:</w:t>
      </w:r>
    </w:p>
    <w:p w14:paraId="13C78FCC" w14:textId="0045EB45" w:rsidR="00076806" w:rsidRPr="00330BEE" w:rsidRDefault="00076806" w:rsidP="00330BEE">
      <w:pPr>
        <w:pStyle w:val="ListParagraph"/>
        <w:numPr>
          <w:ilvl w:val="0"/>
          <w:numId w:val="1"/>
        </w:numPr>
        <w:shd w:val="clear" w:color="auto" w:fill="FFFFFF"/>
        <w:spacing w:after="0"/>
        <w:rPr>
          <w:rFonts w:ascii="Arial" w:hAnsi="Arial" w:cs="Arial"/>
          <w:color w:val="000000"/>
          <w:sz w:val="20"/>
          <w:szCs w:val="20"/>
        </w:rPr>
      </w:pPr>
      <w:r w:rsidRPr="00330BEE">
        <w:rPr>
          <w:rFonts w:ascii="Arial" w:hAnsi="Arial" w:cs="Arial"/>
          <w:color w:val="000000"/>
          <w:sz w:val="20"/>
          <w:szCs w:val="20"/>
          <w:lang w:val="x-none"/>
        </w:rPr>
        <w:t>Project</w:t>
      </w:r>
      <w:r w:rsidRPr="00330BEE">
        <w:rPr>
          <w:rFonts w:ascii="Arial" w:hAnsi="Arial" w:cs="Arial"/>
          <w:color w:val="000000"/>
          <w:sz w:val="20"/>
          <w:szCs w:val="20"/>
        </w:rPr>
        <w:t>ed</w:t>
      </w:r>
      <w:r w:rsidRPr="00330BEE">
        <w:rPr>
          <w:rFonts w:ascii="Arial" w:hAnsi="Arial" w:cs="Arial"/>
          <w:color w:val="000000"/>
          <w:sz w:val="20"/>
          <w:szCs w:val="20"/>
          <w:lang w:val="x-none"/>
        </w:rPr>
        <w:t xml:space="preserve"> emission reductions of nitrogen</w:t>
      </w:r>
      <w:r w:rsidRPr="00330BEE">
        <w:rPr>
          <w:rFonts w:ascii="Arial" w:hAnsi="Arial" w:cs="Arial"/>
          <w:color w:val="000000"/>
          <w:sz w:val="20"/>
          <w:szCs w:val="20"/>
        </w:rPr>
        <w:t xml:space="preserve"> oxides</w:t>
      </w:r>
      <w:r w:rsidRPr="00330BEE">
        <w:rPr>
          <w:rFonts w:ascii="Arial" w:hAnsi="Arial" w:cs="Arial"/>
          <w:color w:val="000000"/>
          <w:sz w:val="20"/>
          <w:szCs w:val="20"/>
          <w:lang w:val="x-none"/>
        </w:rPr>
        <w:t xml:space="preserve"> (NOx), reported in tons per year; </w:t>
      </w:r>
    </w:p>
    <w:p w14:paraId="69E44ADE" w14:textId="77777777" w:rsidR="00076806" w:rsidRPr="00BE5147" w:rsidRDefault="00076806" w:rsidP="00076806">
      <w:pPr>
        <w:numPr>
          <w:ilvl w:val="0"/>
          <w:numId w:val="1"/>
        </w:numPr>
        <w:textAlignment w:val="baseline"/>
        <w:rPr>
          <w:rFonts w:ascii="Arial" w:hAnsi="Arial" w:cs="Arial"/>
          <w:color w:val="000000"/>
          <w:sz w:val="20"/>
          <w:szCs w:val="20"/>
        </w:rPr>
      </w:pPr>
      <w:r w:rsidRPr="00BE5147">
        <w:rPr>
          <w:rFonts w:ascii="Arial" w:hAnsi="Arial" w:cs="Arial"/>
          <w:color w:val="000000"/>
          <w:sz w:val="20"/>
          <w:szCs w:val="20"/>
        </w:rPr>
        <w:t>Cost effectiveness of NOx emission reductions, reported in dollars per ton of reduced emissions. The program funded share of the total project cost described in the application will be divided by the estimated total emission reduction of NOx to determine the cost-effectiveness of the project.</w:t>
      </w:r>
    </w:p>
    <w:p w14:paraId="7619049B" w14:textId="51E00774" w:rsidR="00076806" w:rsidRPr="00BE5147" w:rsidRDefault="00AE5466" w:rsidP="00AE5466">
      <w:pPr>
        <w:numPr>
          <w:ilvl w:val="0"/>
          <w:numId w:val="1"/>
        </w:numPr>
        <w:textAlignment w:val="baseline"/>
        <w:rPr>
          <w:rFonts w:ascii="Arial" w:hAnsi="Arial" w:cs="Arial"/>
          <w:color w:val="000000"/>
          <w:sz w:val="20"/>
          <w:szCs w:val="20"/>
        </w:rPr>
      </w:pPr>
      <w:r>
        <w:rPr>
          <w:rFonts w:ascii="Arial" w:hAnsi="Arial" w:cs="Arial"/>
          <w:color w:val="000000"/>
          <w:sz w:val="20"/>
          <w:szCs w:val="20"/>
        </w:rPr>
        <w:t>Project location</w:t>
      </w:r>
      <w:r w:rsidR="00076806" w:rsidRPr="00BE5147">
        <w:rPr>
          <w:rFonts w:ascii="Arial" w:hAnsi="Arial" w:cs="Arial"/>
          <w:color w:val="000000"/>
          <w:sz w:val="20"/>
          <w:szCs w:val="20"/>
        </w:rPr>
        <w:t xml:space="preserve">. </w:t>
      </w:r>
      <w:r w:rsidRPr="00AE5466">
        <w:rPr>
          <w:rFonts w:ascii="Arial" w:hAnsi="Arial" w:cs="Arial"/>
          <w:color w:val="000000"/>
          <w:sz w:val="20"/>
          <w:szCs w:val="20"/>
        </w:rPr>
        <w:t>Priority will be given to applications for projects in low income</w:t>
      </w:r>
      <w:r w:rsidR="00B6274D">
        <w:rPr>
          <w:rStyle w:val="FootnoteReference"/>
          <w:rFonts w:ascii="Arial" w:hAnsi="Arial" w:cs="Arial"/>
          <w:color w:val="000000"/>
          <w:sz w:val="20"/>
          <w:szCs w:val="20"/>
        </w:rPr>
        <w:footnoteReference w:id="1"/>
      </w:r>
      <w:r w:rsidRPr="00AE5466">
        <w:rPr>
          <w:rFonts w:ascii="Arial" w:hAnsi="Arial" w:cs="Arial"/>
          <w:color w:val="000000"/>
          <w:sz w:val="20"/>
          <w:szCs w:val="20"/>
        </w:rPr>
        <w:t xml:space="preserve"> counties/cities, minority</w:t>
      </w:r>
      <w:r w:rsidR="00406448">
        <w:rPr>
          <w:rStyle w:val="FootnoteReference"/>
          <w:rFonts w:ascii="Arial" w:hAnsi="Arial" w:cs="Arial"/>
          <w:color w:val="000000"/>
          <w:sz w:val="20"/>
          <w:szCs w:val="20"/>
        </w:rPr>
        <w:footnoteReference w:id="2"/>
      </w:r>
      <w:r w:rsidRPr="00AE5466">
        <w:rPr>
          <w:rFonts w:ascii="Arial" w:hAnsi="Arial" w:cs="Arial"/>
          <w:color w:val="000000"/>
          <w:sz w:val="20"/>
          <w:szCs w:val="20"/>
        </w:rPr>
        <w:t xml:space="preserve"> counties/cites, or counties/cities listed on the U.S. Environmental Protection Agency 2020 Diesel Emission Reduction Act Priority Area List</w:t>
      </w:r>
      <w:r w:rsidR="005E6691">
        <w:rPr>
          <w:rStyle w:val="FootnoteReference"/>
          <w:rFonts w:ascii="Arial" w:hAnsi="Arial" w:cs="Arial"/>
          <w:color w:val="000000"/>
          <w:sz w:val="20"/>
          <w:szCs w:val="20"/>
        </w:rPr>
        <w:footnoteReference w:id="3"/>
      </w:r>
      <w:r w:rsidRPr="00AE5466">
        <w:rPr>
          <w:rFonts w:ascii="Arial" w:hAnsi="Arial" w:cs="Arial"/>
          <w:color w:val="000000"/>
          <w:sz w:val="20"/>
          <w:szCs w:val="20"/>
        </w:rPr>
        <w:t xml:space="preserve">. </w:t>
      </w:r>
      <w:r>
        <w:rPr>
          <w:rFonts w:ascii="Arial" w:hAnsi="Arial" w:cs="Arial"/>
          <w:color w:val="000000"/>
          <w:sz w:val="20"/>
          <w:szCs w:val="20"/>
        </w:rPr>
        <w:t>Projects located in</w:t>
      </w:r>
      <w:r w:rsidRPr="00AE5466">
        <w:rPr>
          <w:rFonts w:ascii="Arial" w:hAnsi="Arial" w:cs="Arial"/>
          <w:color w:val="000000"/>
          <w:sz w:val="20"/>
          <w:szCs w:val="20"/>
        </w:rPr>
        <w:t xml:space="preserve"> counties/cities identified on multiple lists will receive a higher ranking.</w:t>
      </w:r>
      <w:r w:rsidR="00303BB1" w:rsidRPr="00BE5147">
        <w:rPr>
          <w:rFonts w:ascii="Arial" w:hAnsi="Arial" w:cs="Arial"/>
          <w:color w:val="000000"/>
          <w:sz w:val="20"/>
          <w:szCs w:val="20"/>
        </w:rPr>
        <w:t xml:space="preserve"> </w:t>
      </w:r>
      <w:r w:rsidR="00565DC6" w:rsidRPr="00BE5147">
        <w:rPr>
          <w:rFonts w:ascii="Arial" w:hAnsi="Arial" w:cs="Arial"/>
          <w:color w:val="000000"/>
          <w:sz w:val="20"/>
          <w:szCs w:val="20"/>
        </w:rPr>
        <w:t xml:space="preserve">A complete list of </w:t>
      </w:r>
      <w:r w:rsidR="00947A18">
        <w:rPr>
          <w:rFonts w:ascii="Arial" w:hAnsi="Arial" w:cs="Arial"/>
          <w:color w:val="000000"/>
          <w:sz w:val="20"/>
          <w:szCs w:val="20"/>
        </w:rPr>
        <w:t>prio</w:t>
      </w:r>
      <w:r w:rsidR="00715933">
        <w:rPr>
          <w:rFonts w:ascii="Arial" w:hAnsi="Arial" w:cs="Arial"/>
          <w:color w:val="000000"/>
          <w:sz w:val="20"/>
          <w:szCs w:val="20"/>
        </w:rPr>
        <w:t>ri</w:t>
      </w:r>
      <w:r w:rsidR="00947A18">
        <w:rPr>
          <w:rFonts w:ascii="Arial" w:hAnsi="Arial" w:cs="Arial"/>
          <w:color w:val="000000"/>
          <w:sz w:val="20"/>
          <w:szCs w:val="20"/>
        </w:rPr>
        <w:t xml:space="preserve">tized counties/cites </w:t>
      </w:r>
      <w:r w:rsidR="00565DC6" w:rsidRPr="00BE5147">
        <w:rPr>
          <w:rFonts w:ascii="Arial" w:hAnsi="Arial" w:cs="Arial"/>
          <w:color w:val="000000"/>
          <w:sz w:val="20"/>
          <w:szCs w:val="20"/>
        </w:rPr>
        <w:t>is provided in Appendix E.</w:t>
      </w:r>
    </w:p>
    <w:p w14:paraId="0435F815" w14:textId="77777777" w:rsidR="00076806" w:rsidRPr="00BE5147" w:rsidRDefault="00076806" w:rsidP="00076806">
      <w:pPr>
        <w:numPr>
          <w:ilvl w:val="0"/>
          <w:numId w:val="1"/>
        </w:numPr>
        <w:textAlignment w:val="baseline"/>
        <w:rPr>
          <w:rFonts w:ascii="Arial" w:hAnsi="Arial" w:cs="Arial"/>
          <w:color w:val="000000"/>
          <w:sz w:val="20"/>
          <w:szCs w:val="20"/>
        </w:rPr>
      </w:pPr>
      <w:r w:rsidRPr="00BE5147">
        <w:rPr>
          <w:rFonts w:ascii="Arial" w:hAnsi="Arial" w:cs="Arial"/>
          <w:color w:val="000000"/>
          <w:sz w:val="20"/>
          <w:szCs w:val="20"/>
        </w:rPr>
        <w:t xml:space="preserve">Cost effectiveness of particulate matter emission reductions, reported in dollars per ton of reduced emissions; and </w:t>
      </w:r>
    </w:p>
    <w:p w14:paraId="257B0111" w14:textId="77777777" w:rsidR="00076806" w:rsidRPr="00BE5147" w:rsidRDefault="00076806" w:rsidP="00076806">
      <w:pPr>
        <w:numPr>
          <w:ilvl w:val="0"/>
          <w:numId w:val="1"/>
        </w:numPr>
        <w:textAlignment w:val="baseline"/>
        <w:rPr>
          <w:rFonts w:ascii="Arial" w:hAnsi="Arial" w:cs="Arial"/>
          <w:color w:val="000000"/>
          <w:sz w:val="20"/>
          <w:szCs w:val="20"/>
        </w:rPr>
      </w:pPr>
      <w:r w:rsidRPr="00BE5147">
        <w:rPr>
          <w:rFonts w:ascii="Arial" w:hAnsi="Arial" w:cs="Arial"/>
          <w:color w:val="000000"/>
          <w:sz w:val="20"/>
          <w:szCs w:val="20"/>
        </w:rPr>
        <w:t xml:space="preserve">Cost effectiveness of carbon dioxide emission reductions, reported in dollars per ton of reduced emissions. </w:t>
      </w:r>
    </w:p>
    <w:p w14:paraId="7AE4AEEE" w14:textId="77777777" w:rsidR="00076806" w:rsidRPr="00BE5147" w:rsidRDefault="00076806" w:rsidP="00076806">
      <w:pPr>
        <w:textAlignment w:val="baseline"/>
        <w:rPr>
          <w:rFonts w:ascii="Arial" w:hAnsi="Arial" w:cs="Arial"/>
          <w:color w:val="000000"/>
          <w:sz w:val="20"/>
          <w:szCs w:val="20"/>
        </w:rPr>
      </w:pPr>
    </w:p>
    <w:p w14:paraId="6D6DF413" w14:textId="0C88CC19" w:rsidR="00076806" w:rsidRPr="00BE5147" w:rsidRDefault="00076806" w:rsidP="00076806">
      <w:pPr>
        <w:rPr>
          <w:rFonts w:ascii="Arial" w:hAnsi="Arial" w:cs="Arial"/>
          <w:b/>
          <w:color w:val="000000"/>
          <w:sz w:val="20"/>
          <w:szCs w:val="20"/>
        </w:rPr>
      </w:pPr>
      <w:r w:rsidRPr="00BE5147">
        <w:rPr>
          <w:rFonts w:ascii="Arial" w:hAnsi="Arial" w:cs="Arial"/>
          <w:color w:val="000000"/>
          <w:sz w:val="20"/>
          <w:szCs w:val="20"/>
        </w:rPr>
        <w:t xml:space="preserve">Each project will be scored and ranked based on the above selection criteria as follows: </w:t>
      </w:r>
    </w:p>
    <w:tbl>
      <w:tblPr>
        <w:tblpPr w:leftFromText="187" w:rightFromText="187" w:vertAnchor="text" w:horzAnchor="margin" w:tblpY="-2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riteria for project selection"/>
        <w:tblDescription w:val="Table describes criteria for project selection."/>
      </w:tblPr>
      <w:tblGrid>
        <w:gridCol w:w="8300"/>
        <w:gridCol w:w="1050"/>
      </w:tblGrid>
      <w:tr w:rsidR="001C199A" w:rsidRPr="009E243B" w14:paraId="008ACE35" w14:textId="77777777" w:rsidTr="001E0C11">
        <w:trPr>
          <w:tblHeader/>
        </w:trPr>
        <w:tc>
          <w:tcPr>
            <w:tcW w:w="0" w:type="auto"/>
            <w:shd w:val="clear" w:color="auto" w:fill="DEEAF6" w:themeFill="accent1" w:themeFillTint="33"/>
          </w:tcPr>
          <w:p w14:paraId="58E6A2D2" w14:textId="77777777" w:rsidR="001C199A" w:rsidRPr="009E243B" w:rsidRDefault="001C199A" w:rsidP="00371878">
            <w:pPr>
              <w:jc w:val="center"/>
              <w:rPr>
                <w:rFonts w:ascii="Arial" w:hAnsi="Arial" w:cs="Arial"/>
                <w:b/>
                <w:sz w:val="20"/>
                <w:szCs w:val="20"/>
              </w:rPr>
            </w:pPr>
            <w:r w:rsidRPr="009E243B">
              <w:rPr>
                <w:rFonts w:ascii="Arial" w:hAnsi="Arial" w:cs="Arial"/>
                <w:b/>
                <w:sz w:val="20"/>
                <w:szCs w:val="20"/>
              </w:rPr>
              <w:lastRenderedPageBreak/>
              <w:t>Criterion</w:t>
            </w:r>
          </w:p>
        </w:tc>
        <w:tc>
          <w:tcPr>
            <w:tcW w:w="0" w:type="auto"/>
            <w:shd w:val="clear" w:color="auto" w:fill="DEEAF6" w:themeFill="accent1" w:themeFillTint="33"/>
          </w:tcPr>
          <w:p w14:paraId="2301363F" w14:textId="77777777" w:rsidR="001C199A" w:rsidRPr="009E243B" w:rsidRDefault="001C199A" w:rsidP="00371878">
            <w:pPr>
              <w:jc w:val="center"/>
              <w:rPr>
                <w:rFonts w:ascii="Arial" w:hAnsi="Arial" w:cs="Arial"/>
                <w:b/>
                <w:sz w:val="20"/>
                <w:szCs w:val="20"/>
              </w:rPr>
            </w:pPr>
            <w:r w:rsidRPr="009E243B">
              <w:rPr>
                <w:rFonts w:ascii="Arial" w:hAnsi="Arial" w:cs="Arial"/>
                <w:b/>
                <w:sz w:val="20"/>
                <w:szCs w:val="20"/>
              </w:rPr>
              <w:t>Possible Points</w:t>
            </w:r>
          </w:p>
        </w:tc>
      </w:tr>
      <w:tr w:rsidR="001C199A" w:rsidRPr="009E243B" w14:paraId="2DEC0181" w14:textId="77777777" w:rsidTr="00B8278B">
        <w:trPr>
          <w:trHeight w:val="2228"/>
        </w:trPr>
        <w:tc>
          <w:tcPr>
            <w:tcW w:w="0" w:type="auto"/>
          </w:tcPr>
          <w:p w14:paraId="68156705" w14:textId="77777777" w:rsidR="001C199A" w:rsidRPr="009E243B" w:rsidRDefault="001C199A" w:rsidP="00371878">
            <w:pPr>
              <w:numPr>
                <w:ilvl w:val="6"/>
                <w:numId w:val="6"/>
              </w:numPr>
              <w:ind w:left="720" w:hanging="720"/>
              <w:rPr>
                <w:rFonts w:ascii="Arial" w:hAnsi="Arial" w:cs="Arial"/>
                <w:b/>
                <w:sz w:val="20"/>
                <w:szCs w:val="20"/>
              </w:rPr>
            </w:pPr>
            <w:r w:rsidRPr="009E243B">
              <w:rPr>
                <w:rFonts w:ascii="Arial" w:hAnsi="Arial" w:cs="Arial"/>
                <w:b/>
                <w:sz w:val="20"/>
                <w:szCs w:val="20"/>
              </w:rPr>
              <w:t>NOx Reduced</w:t>
            </w:r>
          </w:p>
          <w:p w14:paraId="181E2B9F" w14:textId="77777777" w:rsidR="001C199A" w:rsidRPr="009E243B" w:rsidRDefault="001C199A" w:rsidP="00371878">
            <w:pPr>
              <w:rPr>
                <w:rFonts w:ascii="Arial" w:hAnsi="Arial" w:cs="Arial"/>
                <w:sz w:val="20"/>
                <w:szCs w:val="20"/>
              </w:rPr>
            </w:pPr>
            <w:r w:rsidRPr="009E243B">
              <w:rPr>
                <w:rFonts w:ascii="Arial" w:hAnsi="Arial" w:cs="Arial"/>
                <w:sz w:val="20"/>
                <w:szCs w:val="20"/>
              </w:rPr>
              <w:t>Each application will be evaluated based on total annual short tons of NOx reduced as estimated by using US EPA’s Diesel Emission Quantifier tool. The low, medium, and high emission reduction range will be determined once all applications are received.</w:t>
            </w:r>
          </w:p>
          <w:p w14:paraId="587C3AEB" w14:textId="77777777" w:rsidR="001C199A" w:rsidRPr="009E243B" w:rsidRDefault="001C199A" w:rsidP="00371878">
            <w:pPr>
              <w:rPr>
                <w:rFonts w:ascii="Arial" w:hAnsi="Arial" w:cs="Arial"/>
                <w:sz w:val="20"/>
                <w:szCs w:val="20"/>
              </w:rPr>
            </w:pPr>
          </w:p>
          <w:tbl>
            <w:tblPr>
              <w:tblStyle w:val="TableGrid"/>
              <w:tblW w:w="0" w:type="auto"/>
              <w:tblLook w:val="04A0" w:firstRow="1" w:lastRow="0" w:firstColumn="1" w:lastColumn="0" w:noHBand="0" w:noVBand="1"/>
              <w:tblDescription w:val="age of school bus"/>
            </w:tblPr>
            <w:tblGrid>
              <w:gridCol w:w="4050"/>
              <w:gridCol w:w="3685"/>
            </w:tblGrid>
            <w:tr w:rsidR="001C199A" w:rsidRPr="009E243B" w14:paraId="7D071AC0" w14:textId="77777777" w:rsidTr="001E0C11">
              <w:trPr>
                <w:trHeight w:val="70"/>
                <w:tblHeader/>
              </w:trPr>
              <w:tc>
                <w:tcPr>
                  <w:tcW w:w="4050" w:type="dxa"/>
                  <w:shd w:val="clear" w:color="auto" w:fill="DEEAF6" w:themeFill="accent1" w:themeFillTint="33"/>
                </w:tcPr>
                <w:p w14:paraId="30ED2024" w14:textId="77777777" w:rsidR="001C199A" w:rsidRPr="001E0C11" w:rsidRDefault="001C199A" w:rsidP="002047EC">
                  <w:pPr>
                    <w:framePr w:hSpace="187" w:wrap="around" w:vAnchor="text" w:hAnchor="margin" w:y="-215"/>
                    <w:suppressOverlap/>
                    <w:jc w:val="center"/>
                    <w:rPr>
                      <w:rFonts w:ascii="Arial" w:hAnsi="Arial" w:cs="Arial"/>
                      <w:b/>
                      <w:sz w:val="20"/>
                      <w:szCs w:val="20"/>
                    </w:rPr>
                  </w:pPr>
                  <w:r w:rsidRPr="001E0C11">
                    <w:rPr>
                      <w:rFonts w:ascii="Arial" w:hAnsi="Arial" w:cs="Arial"/>
                      <w:b/>
                      <w:sz w:val="20"/>
                      <w:szCs w:val="20"/>
                    </w:rPr>
                    <w:t>Emission Reduction Range</w:t>
                  </w:r>
                </w:p>
              </w:tc>
              <w:tc>
                <w:tcPr>
                  <w:tcW w:w="3685" w:type="dxa"/>
                  <w:shd w:val="clear" w:color="auto" w:fill="DEEAF6" w:themeFill="accent1" w:themeFillTint="33"/>
                </w:tcPr>
                <w:p w14:paraId="13F6C598" w14:textId="77777777" w:rsidR="001C199A" w:rsidRPr="001E0C11" w:rsidRDefault="001C199A" w:rsidP="002047EC">
                  <w:pPr>
                    <w:framePr w:hSpace="187" w:wrap="around" w:vAnchor="text" w:hAnchor="margin" w:y="-215"/>
                    <w:suppressOverlap/>
                    <w:jc w:val="center"/>
                    <w:rPr>
                      <w:rFonts w:ascii="Arial" w:hAnsi="Arial" w:cs="Arial"/>
                      <w:b/>
                      <w:sz w:val="20"/>
                      <w:szCs w:val="20"/>
                    </w:rPr>
                  </w:pPr>
                  <w:r w:rsidRPr="001E0C11">
                    <w:rPr>
                      <w:rFonts w:ascii="Arial" w:hAnsi="Arial" w:cs="Arial"/>
                      <w:b/>
                      <w:sz w:val="20"/>
                      <w:szCs w:val="20"/>
                    </w:rPr>
                    <w:t>Points</w:t>
                  </w:r>
                </w:p>
              </w:tc>
            </w:tr>
            <w:tr w:rsidR="001C199A" w:rsidRPr="009E243B" w14:paraId="5B175EB4" w14:textId="77777777" w:rsidTr="00371878">
              <w:tc>
                <w:tcPr>
                  <w:tcW w:w="4050" w:type="dxa"/>
                </w:tcPr>
                <w:p w14:paraId="149A4358"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High</w:t>
                  </w:r>
                </w:p>
              </w:tc>
              <w:tc>
                <w:tcPr>
                  <w:tcW w:w="3685" w:type="dxa"/>
                </w:tcPr>
                <w:p w14:paraId="7D1649BA"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30</w:t>
                  </w:r>
                </w:p>
              </w:tc>
            </w:tr>
            <w:tr w:rsidR="001C199A" w:rsidRPr="009E243B" w14:paraId="0CF656D4" w14:textId="77777777" w:rsidTr="00371878">
              <w:tc>
                <w:tcPr>
                  <w:tcW w:w="4050" w:type="dxa"/>
                </w:tcPr>
                <w:p w14:paraId="2A98FC3A"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Medium</w:t>
                  </w:r>
                </w:p>
              </w:tc>
              <w:tc>
                <w:tcPr>
                  <w:tcW w:w="3685" w:type="dxa"/>
                </w:tcPr>
                <w:p w14:paraId="4A1118EF"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20</w:t>
                  </w:r>
                </w:p>
              </w:tc>
            </w:tr>
            <w:tr w:rsidR="001C199A" w:rsidRPr="009E243B" w14:paraId="551678E2" w14:textId="77777777" w:rsidTr="00371878">
              <w:tc>
                <w:tcPr>
                  <w:tcW w:w="4050" w:type="dxa"/>
                </w:tcPr>
                <w:p w14:paraId="616DB9DD"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Low</w:t>
                  </w:r>
                </w:p>
              </w:tc>
              <w:tc>
                <w:tcPr>
                  <w:tcW w:w="3685" w:type="dxa"/>
                </w:tcPr>
                <w:p w14:paraId="49802BA0"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10</w:t>
                  </w:r>
                </w:p>
              </w:tc>
            </w:tr>
          </w:tbl>
          <w:p w14:paraId="5A28552F" w14:textId="77777777" w:rsidR="001C199A" w:rsidRPr="009E243B" w:rsidRDefault="001C199A" w:rsidP="00371878">
            <w:pPr>
              <w:rPr>
                <w:rFonts w:ascii="Arial" w:hAnsi="Arial" w:cs="Arial"/>
                <w:sz w:val="20"/>
                <w:szCs w:val="20"/>
              </w:rPr>
            </w:pPr>
          </w:p>
        </w:tc>
        <w:tc>
          <w:tcPr>
            <w:tcW w:w="0" w:type="auto"/>
          </w:tcPr>
          <w:p w14:paraId="5858D92B" w14:textId="77777777" w:rsidR="001C199A" w:rsidRPr="009E243B" w:rsidRDefault="001C199A" w:rsidP="00371878">
            <w:pPr>
              <w:jc w:val="center"/>
              <w:rPr>
                <w:rFonts w:ascii="Arial" w:hAnsi="Arial" w:cs="Arial"/>
                <w:sz w:val="20"/>
                <w:szCs w:val="20"/>
              </w:rPr>
            </w:pPr>
          </w:p>
          <w:p w14:paraId="63903271" w14:textId="77777777" w:rsidR="001C199A" w:rsidRPr="009E243B" w:rsidRDefault="001C199A" w:rsidP="00371878">
            <w:pPr>
              <w:jc w:val="center"/>
              <w:rPr>
                <w:rFonts w:ascii="Arial" w:hAnsi="Arial" w:cs="Arial"/>
                <w:sz w:val="20"/>
                <w:szCs w:val="20"/>
              </w:rPr>
            </w:pPr>
            <w:r>
              <w:rPr>
                <w:rFonts w:ascii="Arial" w:hAnsi="Arial" w:cs="Arial"/>
                <w:sz w:val="20"/>
                <w:szCs w:val="20"/>
              </w:rPr>
              <w:t>30</w:t>
            </w:r>
          </w:p>
        </w:tc>
      </w:tr>
      <w:tr w:rsidR="001C199A" w:rsidRPr="009E243B" w14:paraId="38C0E8F4" w14:textId="77777777" w:rsidTr="00B8278B">
        <w:trPr>
          <w:trHeight w:val="2498"/>
        </w:trPr>
        <w:tc>
          <w:tcPr>
            <w:tcW w:w="0" w:type="auto"/>
          </w:tcPr>
          <w:p w14:paraId="52026D48" w14:textId="77777777" w:rsidR="001C199A" w:rsidRPr="009E243B" w:rsidRDefault="001C199A" w:rsidP="00371878">
            <w:pPr>
              <w:numPr>
                <w:ilvl w:val="6"/>
                <w:numId w:val="6"/>
              </w:numPr>
              <w:ind w:left="720" w:hanging="720"/>
              <w:rPr>
                <w:rFonts w:ascii="Arial" w:hAnsi="Arial" w:cs="Arial"/>
                <w:b/>
                <w:sz w:val="20"/>
                <w:szCs w:val="20"/>
              </w:rPr>
            </w:pPr>
            <w:r w:rsidRPr="009E243B">
              <w:rPr>
                <w:rFonts w:ascii="Arial" w:hAnsi="Arial" w:cs="Arial"/>
                <w:b/>
                <w:sz w:val="20"/>
                <w:szCs w:val="20"/>
              </w:rPr>
              <w:t>NOx Cost Effectiveness</w:t>
            </w:r>
          </w:p>
          <w:p w14:paraId="42273E92" w14:textId="77777777" w:rsidR="001C199A" w:rsidRPr="009E243B" w:rsidRDefault="001C199A" w:rsidP="00371878">
            <w:pPr>
              <w:rPr>
                <w:rFonts w:ascii="Arial" w:hAnsi="Arial" w:cs="Arial"/>
                <w:sz w:val="20"/>
                <w:szCs w:val="20"/>
              </w:rPr>
            </w:pPr>
            <w:r w:rsidRPr="009E243B">
              <w:rPr>
                <w:rFonts w:ascii="Arial" w:hAnsi="Arial" w:cs="Arial"/>
                <w:sz w:val="20"/>
                <w:szCs w:val="20"/>
              </w:rPr>
              <w:t xml:space="preserve">The </w:t>
            </w:r>
            <w:r>
              <w:rPr>
                <w:rFonts w:ascii="Arial" w:hAnsi="Arial" w:cs="Arial"/>
                <w:sz w:val="20"/>
                <w:szCs w:val="20"/>
              </w:rPr>
              <w:t>CACP</w:t>
            </w:r>
            <w:r w:rsidRPr="009E243B">
              <w:rPr>
                <w:rFonts w:ascii="Arial" w:hAnsi="Arial" w:cs="Arial"/>
                <w:sz w:val="20"/>
                <w:szCs w:val="20"/>
              </w:rPr>
              <w:t xml:space="preserve"> funded share of the total project cost described in the application will be divided by the estimated total annual emission reduction of NOx, in short tons, to determine the cost-effectiveness of the project.  The low, medium, and high emission reduction range will be determined once all applications are received.</w:t>
            </w:r>
          </w:p>
          <w:p w14:paraId="76983197" w14:textId="77777777" w:rsidR="001C199A" w:rsidRPr="009E243B" w:rsidRDefault="001C199A" w:rsidP="00371878">
            <w:pPr>
              <w:rPr>
                <w:rFonts w:ascii="Arial" w:hAnsi="Arial" w:cs="Arial"/>
                <w:sz w:val="20"/>
                <w:szCs w:val="20"/>
              </w:rPr>
            </w:pPr>
          </w:p>
          <w:tbl>
            <w:tblPr>
              <w:tblStyle w:val="TableGrid"/>
              <w:tblW w:w="7735" w:type="dxa"/>
              <w:tblLook w:val="04A0" w:firstRow="1" w:lastRow="0" w:firstColumn="1" w:lastColumn="0" w:noHBand="0" w:noVBand="1"/>
              <w:tblDescription w:val="benefits to disadvantaged communities"/>
            </w:tblPr>
            <w:tblGrid>
              <w:gridCol w:w="4050"/>
              <w:gridCol w:w="3685"/>
            </w:tblGrid>
            <w:tr w:rsidR="001C199A" w:rsidRPr="009E243B" w14:paraId="7E7F1E5E" w14:textId="77777777" w:rsidTr="00635782">
              <w:trPr>
                <w:tblHeader/>
              </w:trPr>
              <w:tc>
                <w:tcPr>
                  <w:tcW w:w="4050" w:type="dxa"/>
                  <w:shd w:val="clear" w:color="auto" w:fill="DEEAF6" w:themeFill="accent1" w:themeFillTint="33"/>
                </w:tcPr>
                <w:p w14:paraId="47B363CB" w14:textId="77777777" w:rsidR="001C199A" w:rsidRPr="009E243B" w:rsidRDefault="001C199A" w:rsidP="002047EC">
                  <w:pPr>
                    <w:framePr w:hSpace="187" w:wrap="around" w:vAnchor="text" w:hAnchor="margin" w:y="-215"/>
                    <w:suppressOverlap/>
                    <w:jc w:val="center"/>
                    <w:rPr>
                      <w:rFonts w:ascii="Arial" w:hAnsi="Arial" w:cs="Arial"/>
                      <w:b/>
                      <w:sz w:val="20"/>
                      <w:szCs w:val="20"/>
                    </w:rPr>
                  </w:pPr>
                  <w:r w:rsidRPr="009E243B">
                    <w:rPr>
                      <w:rFonts w:ascii="Arial" w:hAnsi="Arial" w:cs="Arial"/>
                      <w:b/>
                      <w:sz w:val="20"/>
                      <w:szCs w:val="20"/>
                    </w:rPr>
                    <w:t>Cost Effectiveness Range</w:t>
                  </w:r>
                </w:p>
              </w:tc>
              <w:tc>
                <w:tcPr>
                  <w:tcW w:w="3685" w:type="dxa"/>
                  <w:shd w:val="clear" w:color="auto" w:fill="DEEAF6" w:themeFill="accent1" w:themeFillTint="33"/>
                </w:tcPr>
                <w:p w14:paraId="480838FD" w14:textId="77777777" w:rsidR="001C199A" w:rsidRPr="009E243B" w:rsidRDefault="001C199A" w:rsidP="002047EC">
                  <w:pPr>
                    <w:framePr w:hSpace="187" w:wrap="around" w:vAnchor="text" w:hAnchor="margin" w:y="-215"/>
                    <w:suppressOverlap/>
                    <w:jc w:val="center"/>
                    <w:rPr>
                      <w:rFonts w:ascii="Arial" w:hAnsi="Arial" w:cs="Arial"/>
                      <w:b/>
                      <w:sz w:val="20"/>
                      <w:szCs w:val="20"/>
                    </w:rPr>
                  </w:pPr>
                  <w:r w:rsidRPr="009E243B">
                    <w:rPr>
                      <w:rFonts w:ascii="Arial" w:hAnsi="Arial" w:cs="Arial"/>
                      <w:b/>
                      <w:sz w:val="20"/>
                      <w:szCs w:val="20"/>
                    </w:rPr>
                    <w:t>Points</w:t>
                  </w:r>
                </w:p>
              </w:tc>
            </w:tr>
            <w:tr w:rsidR="001C199A" w:rsidRPr="009E243B" w14:paraId="6F089D64" w14:textId="77777777" w:rsidTr="00371878">
              <w:tc>
                <w:tcPr>
                  <w:tcW w:w="4050" w:type="dxa"/>
                </w:tcPr>
                <w:p w14:paraId="6DBD01E5"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High</w:t>
                  </w:r>
                </w:p>
              </w:tc>
              <w:tc>
                <w:tcPr>
                  <w:tcW w:w="3685" w:type="dxa"/>
                </w:tcPr>
                <w:p w14:paraId="06FE90E0"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30</w:t>
                  </w:r>
                </w:p>
              </w:tc>
            </w:tr>
            <w:tr w:rsidR="001C199A" w:rsidRPr="009E243B" w14:paraId="154C2AFA" w14:textId="77777777" w:rsidTr="00371878">
              <w:tc>
                <w:tcPr>
                  <w:tcW w:w="4050" w:type="dxa"/>
                </w:tcPr>
                <w:p w14:paraId="388AF220"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Medium</w:t>
                  </w:r>
                </w:p>
              </w:tc>
              <w:tc>
                <w:tcPr>
                  <w:tcW w:w="3685" w:type="dxa"/>
                </w:tcPr>
                <w:p w14:paraId="45778593"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20</w:t>
                  </w:r>
                </w:p>
              </w:tc>
            </w:tr>
            <w:tr w:rsidR="001C199A" w:rsidRPr="009E243B" w14:paraId="591A4324" w14:textId="77777777" w:rsidTr="00371878">
              <w:tc>
                <w:tcPr>
                  <w:tcW w:w="4050" w:type="dxa"/>
                </w:tcPr>
                <w:p w14:paraId="261972BE"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Low</w:t>
                  </w:r>
                </w:p>
              </w:tc>
              <w:tc>
                <w:tcPr>
                  <w:tcW w:w="3685" w:type="dxa"/>
                </w:tcPr>
                <w:p w14:paraId="3953A629"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10</w:t>
                  </w:r>
                </w:p>
              </w:tc>
            </w:tr>
          </w:tbl>
          <w:p w14:paraId="5F8EAA85" w14:textId="77777777" w:rsidR="001C199A" w:rsidRPr="009E243B" w:rsidRDefault="001C199A" w:rsidP="00371878">
            <w:pPr>
              <w:rPr>
                <w:rFonts w:ascii="Arial" w:hAnsi="Arial" w:cs="Arial"/>
                <w:sz w:val="20"/>
                <w:szCs w:val="20"/>
              </w:rPr>
            </w:pPr>
          </w:p>
        </w:tc>
        <w:tc>
          <w:tcPr>
            <w:tcW w:w="0" w:type="auto"/>
          </w:tcPr>
          <w:p w14:paraId="7F30A67A" w14:textId="77777777" w:rsidR="001C199A" w:rsidRPr="009E243B" w:rsidRDefault="001C199A" w:rsidP="00371878">
            <w:pPr>
              <w:jc w:val="center"/>
              <w:rPr>
                <w:rFonts w:ascii="Arial" w:hAnsi="Arial" w:cs="Arial"/>
                <w:sz w:val="20"/>
                <w:szCs w:val="20"/>
              </w:rPr>
            </w:pPr>
          </w:p>
          <w:p w14:paraId="086F8152" w14:textId="77777777" w:rsidR="001C199A" w:rsidRPr="009E243B" w:rsidRDefault="001C199A" w:rsidP="00371878">
            <w:pPr>
              <w:jc w:val="center"/>
              <w:rPr>
                <w:rFonts w:ascii="Arial" w:hAnsi="Arial" w:cs="Arial"/>
                <w:sz w:val="20"/>
                <w:szCs w:val="20"/>
              </w:rPr>
            </w:pPr>
            <w:r>
              <w:rPr>
                <w:rFonts w:ascii="Arial" w:hAnsi="Arial" w:cs="Arial"/>
                <w:sz w:val="20"/>
                <w:szCs w:val="20"/>
              </w:rPr>
              <w:t>30</w:t>
            </w:r>
          </w:p>
        </w:tc>
      </w:tr>
      <w:tr w:rsidR="001C199A" w:rsidRPr="009E243B" w14:paraId="154EC95D" w14:textId="77777777" w:rsidTr="00B8278B">
        <w:trPr>
          <w:trHeight w:val="1877"/>
        </w:trPr>
        <w:tc>
          <w:tcPr>
            <w:tcW w:w="0" w:type="auto"/>
          </w:tcPr>
          <w:p w14:paraId="5BB59B07" w14:textId="77777777" w:rsidR="001C199A" w:rsidRPr="009E243B" w:rsidRDefault="001C199A" w:rsidP="00371878">
            <w:pPr>
              <w:numPr>
                <w:ilvl w:val="6"/>
                <w:numId w:val="6"/>
              </w:numPr>
              <w:ind w:left="720" w:hanging="720"/>
              <w:rPr>
                <w:rFonts w:ascii="Arial" w:hAnsi="Arial" w:cs="Arial"/>
                <w:b/>
                <w:sz w:val="20"/>
                <w:szCs w:val="20"/>
              </w:rPr>
            </w:pPr>
            <w:r w:rsidRPr="009E243B">
              <w:rPr>
                <w:rFonts w:ascii="Arial" w:hAnsi="Arial" w:cs="Arial"/>
                <w:b/>
                <w:sz w:val="20"/>
                <w:szCs w:val="20"/>
              </w:rPr>
              <w:t>Project Location</w:t>
            </w:r>
          </w:p>
          <w:p w14:paraId="610932D5" w14:textId="28874684" w:rsidR="001C199A" w:rsidRPr="009E243B" w:rsidRDefault="001C199A" w:rsidP="00371878">
            <w:pPr>
              <w:rPr>
                <w:rFonts w:ascii="Arial" w:hAnsi="Arial" w:cs="Arial"/>
                <w:sz w:val="20"/>
                <w:szCs w:val="20"/>
              </w:rPr>
            </w:pPr>
            <w:r w:rsidRPr="00D54723">
              <w:rPr>
                <w:rFonts w:ascii="Arial" w:hAnsi="Arial" w:cs="Arial"/>
                <w:sz w:val="20"/>
                <w:szCs w:val="20"/>
              </w:rPr>
              <w:t xml:space="preserve">Applications </w:t>
            </w:r>
            <w:r>
              <w:rPr>
                <w:rFonts w:ascii="Arial" w:hAnsi="Arial" w:cs="Arial"/>
                <w:sz w:val="20"/>
                <w:szCs w:val="20"/>
              </w:rPr>
              <w:t>will receive the following points</w:t>
            </w:r>
            <w:r w:rsidR="006A0801">
              <w:rPr>
                <w:rFonts w:ascii="Arial" w:hAnsi="Arial" w:cs="Arial"/>
                <w:sz w:val="20"/>
                <w:szCs w:val="20"/>
              </w:rPr>
              <w:t xml:space="preserve"> based on </w:t>
            </w:r>
            <w:r w:rsidR="00B8278B">
              <w:rPr>
                <w:rFonts w:ascii="Arial" w:hAnsi="Arial" w:cs="Arial"/>
                <w:sz w:val="20"/>
                <w:szCs w:val="20"/>
              </w:rPr>
              <w:t>where</w:t>
            </w:r>
            <w:r w:rsidR="006A0801">
              <w:rPr>
                <w:rFonts w:ascii="Arial" w:hAnsi="Arial" w:cs="Arial"/>
                <w:sz w:val="20"/>
                <w:szCs w:val="20"/>
              </w:rPr>
              <w:t xml:space="preserve"> the project is located</w:t>
            </w:r>
            <w:r>
              <w:rPr>
                <w:rFonts w:ascii="Arial" w:hAnsi="Arial" w:cs="Arial"/>
                <w:sz w:val="20"/>
                <w:szCs w:val="20"/>
              </w:rPr>
              <w:t>:</w:t>
            </w:r>
          </w:p>
          <w:tbl>
            <w:tblPr>
              <w:tblStyle w:val="TableGrid"/>
              <w:tblpPr w:leftFromText="180" w:rightFromText="180" w:vertAnchor="text" w:horzAnchor="margin" w:tblpY="64"/>
              <w:tblOverlap w:val="never"/>
              <w:tblW w:w="0" w:type="auto"/>
              <w:tblLook w:val="04A0" w:firstRow="1" w:lastRow="0" w:firstColumn="1" w:lastColumn="0" w:noHBand="0" w:noVBand="1"/>
              <w:tblDescription w:val="free and reduced priced meals"/>
            </w:tblPr>
            <w:tblGrid>
              <w:gridCol w:w="3853"/>
              <w:gridCol w:w="3854"/>
            </w:tblGrid>
            <w:tr w:rsidR="00C064B5" w:rsidRPr="009E243B" w14:paraId="52B7EA96" w14:textId="77777777" w:rsidTr="00635782">
              <w:trPr>
                <w:tblHeader/>
              </w:trPr>
              <w:tc>
                <w:tcPr>
                  <w:tcW w:w="3853" w:type="dxa"/>
                  <w:shd w:val="clear" w:color="auto" w:fill="DEEAF6" w:themeFill="accent1" w:themeFillTint="33"/>
                </w:tcPr>
                <w:p w14:paraId="17E3E506" w14:textId="77777777" w:rsidR="00C064B5" w:rsidRPr="009E243B" w:rsidRDefault="00C064B5" w:rsidP="00C064B5">
                  <w:pPr>
                    <w:jc w:val="center"/>
                    <w:rPr>
                      <w:rFonts w:ascii="Arial" w:hAnsi="Arial" w:cs="Arial"/>
                      <w:b/>
                      <w:sz w:val="20"/>
                      <w:szCs w:val="20"/>
                    </w:rPr>
                  </w:pPr>
                  <w:r w:rsidRPr="009E243B">
                    <w:rPr>
                      <w:rFonts w:ascii="Arial" w:hAnsi="Arial" w:cs="Arial"/>
                      <w:b/>
                      <w:sz w:val="20"/>
                      <w:szCs w:val="20"/>
                    </w:rPr>
                    <w:t>Project Location</w:t>
                  </w:r>
                </w:p>
              </w:tc>
              <w:tc>
                <w:tcPr>
                  <w:tcW w:w="3854" w:type="dxa"/>
                  <w:shd w:val="clear" w:color="auto" w:fill="DEEAF6" w:themeFill="accent1" w:themeFillTint="33"/>
                </w:tcPr>
                <w:p w14:paraId="1CD5D778" w14:textId="77777777" w:rsidR="00C064B5" w:rsidRPr="009E243B" w:rsidRDefault="00C064B5" w:rsidP="00C064B5">
                  <w:pPr>
                    <w:jc w:val="center"/>
                    <w:rPr>
                      <w:rFonts w:ascii="Arial" w:hAnsi="Arial" w:cs="Arial"/>
                      <w:b/>
                      <w:sz w:val="20"/>
                      <w:szCs w:val="20"/>
                    </w:rPr>
                  </w:pPr>
                  <w:r w:rsidRPr="009E243B">
                    <w:rPr>
                      <w:rFonts w:ascii="Arial" w:hAnsi="Arial" w:cs="Arial"/>
                      <w:b/>
                      <w:sz w:val="20"/>
                      <w:szCs w:val="20"/>
                    </w:rPr>
                    <w:t>Points</w:t>
                  </w:r>
                </w:p>
              </w:tc>
            </w:tr>
            <w:tr w:rsidR="00C064B5" w:rsidRPr="009E243B" w14:paraId="05D83608" w14:textId="77777777" w:rsidTr="00C064B5">
              <w:tc>
                <w:tcPr>
                  <w:tcW w:w="3853" w:type="dxa"/>
                </w:tcPr>
                <w:p w14:paraId="74AF6E15" w14:textId="77777777" w:rsidR="00C064B5" w:rsidRPr="009E243B" w:rsidRDefault="00C064B5" w:rsidP="00C064B5">
                  <w:pPr>
                    <w:jc w:val="center"/>
                    <w:rPr>
                      <w:rFonts w:ascii="Arial" w:hAnsi="Arial" w:cs="Arial"/>
                      <w:sz w:val="20"/>
                      <w:szCs w:val="20"/>
                    </w:rPr>
                  </w:pPr>
                  <w:r w:rsidRPr="009E243B">
                    <w:rPr>
                      <w:rFonts w:ascii="Arial" w:hAnsi="Arial" w:cs="Arial"/>
                      <w:sz w:val="20"/>
                      <w:szCs w:val="20"/>
                    </w:rPr>
                    <w:t>Priority Area 1</w:t>
                  </w:r>
                </w:p>
              </w:tc>
              <w:tc>
                <w:tcPr>
                  <w:tcW w:w="3854" w:type="dxa"/>
                </w:tcPr>
                <w:p w14:paraId="091F038F" w14:textId="77777777" w:rsidR="00C064B5" w:rsidRPr="009E243B" w:rsidRDefault="00C064B5" w:rsidP="00C064B5">
                  <w:pPr>
                    <w:jc w:val="center"/>
                    <w:rPr>
                      <w:rFonts w:ascii="Arial" w:hAnsi="Arial" w:cs="Arial"/>
                      <w:sz w:val="20"/>
                      <w:szCs w:val="20"/>
                    </w:rPr>
                  </w:pPr>
                  <w:r>
                    <w:rPr>
                      <w:rFonts w:ascii="Arial" w:hAnsi="Arial" w:cs="Arial"/>
                      <w:sz w:val="20"/>
                      <w:szCs w:val="20"/>
                    </w:rPr>
                    <w:t>3</w:t>
                  </w:r>
                  <w:r w:rsidRPr="009E243B">
                    <w:rPr>
                      <w:rFonts w:ascii="Arial" w:hAnsi="Arial" w:cs="Arial"/>
                      <w:sz w:val="20"/>
                      <w:szCs w:val="20"/>
                    </w:rPr>
                    <w:t>0</w:t>
                  </w:r>
                </w:p>
              </w:tc>
            </w:tr>
            <w:tr w:rsidR="00C064B5" w:rsidRPr="009E243B" w14:paraId="13C8773E" w14:textId="77777777" w:rsidTr="00C064B5">
              <w:tc>
                <w:tcPr>
                  <w:tcW w:w="3853" w:type="dxa"/>
                </w:tcPr>
                <w:p w14:paraId="529D8368" w14:textId="77777777" w:rsidR="00C064B5" w:rsidRPr="009E243B" w:rsidRDefault="00C064B5" w:rsidP="00C064B5">
                  <w:pPr>
                    <w:jc w:val="center"/>
                    <w:rPr>
                      <w:rFonts w:ascii="Arial" w:hAnsi="Arial" w:cs="Arial"/>
                      <w:sz w:val="20"/>
                      <w:szCs w:val="20"/>
                    </w:rPr>
                  </w:pPr>
                  <w:r w:rsidRPr="009E243B">
                    <w:rPr>
                      <w:rFonts w:ascii="Arial" w:hAnsi="Arial" w:cs="Arial"/>
                      <w:sz w:val="20"/>
                      <w:szCs w:val="20"/>
                    </w:rPr>
                    <w:t xml:space="preserve">Priority Area </w:t>
                  </w:r>
                  <w:r>
                    <w:rPr>
                      <w:rFonts w:ascii="Arial" w:hAnsi="Arial" w:cs="Arial"/>
                      <w:sz w:val="20"/>
                      <w:szCs w:val="20"/>
                    </w:rPr>
                    <w:t>2</w:t>
                  </w:r>
                </w:p>
              </w:tc>
              <w:tc>
                <w:tcPr>
                  <w:tcW w:w="3854" w:type="dxa"/>
                </w:tcPr>
                <w:p w14:paraId="7FC716F3" w14:textId="77777777" w:rsidR="00C064B5" w:rsidRPr="009E243B" w:rsidRDefault="00C064B5" w:rsidP="00C064B5">
                  <w:pPr>
                    <w:jc w:val="center"/>
                    <w:rPr>
                      <w:rFonts w:ascii="Arial" w:hAnsi="Arial" w:cs="Arial"/>
                      <w:sz w:val="20"/>
                      <w:szCs w:val="20"/>
                    </w:rPr>
                  </w:pPr>
                  <w:r>
                    <w:rPr>
                      <w:rFonts w:ascii="Arial" w:hAnsi="Arial" w:cs="Arial"/>
                      <w:sz w:val="20"/>
                      <w:szCs w:val="20"/>
                    </w:rPr>
                    <w:t>2</w:t>
                  </w:r>
                  <w:r w:rsidRPr="009E243B">
                    <w:rPr>
                      <w:rFonts w:ascii="Arial" w:hAnsi="Arial" w:cs="Arial"/>
                      <w:sz w:val="20"/>
                      <w:szCs w:val="20"/>
                    </w:rPr>
                    <w:t>5</w:t>
                  </w:r>
                </w:p>
              </w:tc>
            </w:tr>
            <w:tr w:rsidR="00C064B5" w:rsidRPr="009E243B" w14:paraId="35D215F3" w14:textId="77777777" w:rsidTr="00C064B5">
              <w:tc>
                <w:tcPr>
                  <w:tcW w:w="3853" w:type="dxa"/>
                </w:tcPr>
                <w:p w14:paraId="0C934EE2" w14:textId="77777777" w:rsidR="00C064B5" w:rsidRPr="009E243B" w:rsidRDefault="00C064B5" w:rsidP="00C064B5">
                  <w:pPr>
                    <w:jc w:val="center"/>
                    <w:rPr>
                      <w:rFonts w:ascii="Arial" w:hAnsi="Arial" w:cs="Arial"/>
                      <w:sz w:val="20"/>
                      <w:szCs w:val="20"/>
                    </w:rPr>
                  </w:pPr>
                  <w:r w:rsidRPr="009E243B">
                    <w:rPr>
                      <w:rFonts w:ascii="Arial" w:hAnsi="Arial" w:cs="Arial"/>
                      <w:sz w:val="20"/>
                      <w:szCs w:val="20"/>
                    </w:rPr>
                    <w:t xml:space="preserve">Priority Area </w:t>
                  </w:r>
                  <w:r>
                    <w:rPr>
                      <w:rFonts w:ascii="Arial" w:hAnsi="Arial" w:cs="Arial"/>
                      <w:sz w:val="20"/>
                      <w:szCs w:val="20"/>
                    </w:rPr>
                    <w:t>3</w:t>
                  </w:r>
                </w:p>
              </w:tc>
              <w:tc>
                <w:tcPr>
                  <w:tcW w:w="3854" w:type="dxa"/>
                </w:tcPr>
                <w:p w14:paraId="0A45E0EA" w14:textId="77777777" w:rsidR="00C064B5" w:rsidRPr="009E243B" w:rsidRDefault="00C064B5" w:rsidP="00C064B5">
                  <w:pPr>
                    <w:jc w:val="center"/>
                    <w:rPr>
                      <w:rFonts w:ascii="Arial" w:hAnsi="Arial" w:cs="Arial"/>
                      <w:sz w:val="20"/>
                      <w:szCs w:val="20"/>
                    </w:rPr>
                  </w:pPr>
                  <w:r>
                    <w:rPr>
                      <w:rFonts w:ascii="Arial" w:hAnsi="Arial" w:cs="Arial"/>
                      <w:sz w:val="20"/>
                      <w:szCs w:val="20"/>
                    </w:rPr>
                    <w:t>20</w:t>
                  </w:r>
                </w:p>
              </w:tc>
            </w:tr>
            <w:tr w:rsidR="00C064B5" w:rsidRPr="009E243B" w14:paraId="72280AAF" w14:textId="77777777" w:rsidTr="00C064B5">
              <w:tc>
                <w:tcPr>
                  <w:tcW w:w="3853" w:type="dxa"/>
                </w:tcPr>
                <w:p w14:paraId="57A0D3CF" w14:textId="77777777" w:rsidR="00C064B5" w:rsidRPr="009E243B" w:rsidRDefault="00C064B5" w:rsidP="00C064B5">
                  <w:pPr>
                    <w:jc w:val="center"/>
                    <w:rPr>
                      <w:rFonts w:ascii="Arial" w:hAnsi="Arial" w:cs="Arial"/>
                      <w:sz w:val="20"/>
                      <w:szCs w:val="20"/>
                    </w:rPr>
                  </w:pPr>
                  <w:r w:rsidRPr="009E243B">
                    <w:rPr>
                      <w:rFonts w:ascii="Arial" w:hAnsi="Arial" w:cs="Arial"/>
                      <w:sz w:val="20"/>
                      <w:szCs w:val="20"/>
                    </w:rPr>
                    <w:t xml:space="preserve">Priority Area </w:t>
                  </w:r>
                  <w:r>
                    <w:rPr>
                      <w:rFonts w:ascii="Arial" w:hAnsi="Arial" w:cs="Arial"/>
                      <w:sz w:val="20"/>
                      <w:szCs w:val="20"/>
                    </w:rPr>
                    <w:t>4</w:t>
                  </w:r>
                </w:p>
              </w:tc>
              <w:tc>
                <w:tcPr>
                  <w:tcW w:w="3854" w:type="dxa"/>
                </w:tcPr>
                <w:p w14:paraId="4FEA7F72" w14:textId="77777777" w:rsidR="00C064B5" w:rsidRPr="009E243B" w:rsidRDefault="00C064B5" w:rsidP="00C064B5">
                  <w:pPr>
                    <w:jc w:val="center"/>
                    <w:rPr>
                      <w:rFonts w:ascii="Arial" w:hAnsi="Arial" w:cs="Arial"/>
                      <w:sz w:val="20"/>
                      <w:szCs w:val="20"/>
                    </w:rPr>
                  </w:pPr>
                  <w:r>
                    <w:rPr>
                      <w:rFonts w:ascii="Arial" w:hAnsi="Arial" w:cs="Arial"/>
                      <w:sz w:val="20"/>
                      <w:szCs w:val="20"/>
                    </w:rPr>
                    <w:t>10</w:t>
                  </w:r>
                  <w:r w:rsidRPr="009E243B">
                    <w:rPr>
                      <w:rFonts w:ascii="Arial" w:hAnsi="Arial" w:cs="Arial"/>
                      <w:sz w:val="20"/>
                      <w:szCs w:val="20"/>
                    </w:rPr>
                    <w:t xml:space="preserve"> </w:t>
                  </w:r>
                </w:p>
              </w:tc>
            </w:tr>
          </w:tbl>
          <w:p w14:paraId="7E73FDB1" w14:textId="3B58CA9A" w:rsidR="00FF2E1F" w:rsidRPr="009E243B" w:rsidRDefault="00FF2E1F" w:rsidP="00371878">
            <w:pPr>
              <w:ind w:left="2790"/>
              <w:jc w:val="both"/>
              <w:rPr>
                <w:rFonts w:ascii="Arial" w:hAnsi="Arial" w:cs="Arial"/>
                <w:b/>
                <w:sz w:val="20"/>
                <w:szCs w:val="20"/>
              </w:rPr>
            </w:pPr>
          </w:p>
        </w:tc>
        <w:tc>
          <w:tcPr>
            <w:tcW w:w="0" w:type="auto"/>
          </w:tcPr>
          <w:p w14:paraId="42D86EAE" w14:textId="77777777" w:rsidR="001C199A" w:rsidRPr="009E243B" w:rsidRDefault="001C199A" w:rsidP="00371878">
            <w:pPr>
              <w:jc w:val="center"/>
              <w:rPr>
                <w:rFonts w:ascii="Arial" w:hAnsi="Arial" w:cs="Arial"/>
                <w:sz w:val="20"/>
                <w:szCs w:val="20"/>
              </w:rPr>
            </w:pPr>
          </w:p>
          <w:p w14:paraId="041ADAF6" w14:textId="77777777" w:rsidR="001C199A" w:rsidRPr="009E243B" w:rsidRDefault="001C199A" w:rsidP="00371878">
            <w:pPr>
              <w:jc w:val="center"/>
              <w:rPr>
                <w:rFonts w:ascii="Arial" w:hAnsi="Arial" w:cs="Arial"/>
                <w:sz w:val="20"/>
                <w:szCs w:val="20"/>
              </w:rPr>
            </w:pPr>
            <w:r>
              <w:rPr>
                <w:rFonts w:ascii="Arial" w:hAnsi="Arial" w:cs="Arial"/>
                <w:sz w:val="20"/>
                <w:szCs w:val="20"/>
              </w:rPr>
              <w:t>3</w:t>
            </w:r>
            <w:r w:rsidRPr="009E243B">
              <w:rPr>
                <w:rFonts w:ascii="Arial" w:hAnsi="Arial" w:cs="Arial"/>
                <w:sz w:val="20"/>
                <w:szCs w:val="20"/>
              </w:rPr>
              <w:t>0</w:t>
            </w:r>
          </w:p>
        </w:tc>
      </w:tr>
      <w:tr w:rsidR="001C199A" w:rsidRPr="009E243B" w14:paraId="6FA4729C" w14:textId="77777777" w:rsidTr="00647029">
        <w:trPr>
          <w:trHeight w:val="2507"/>
        </w:trPr>
        <w:tc>
          <w:tcPr>
            <w:tcW w:w="0" w:type="auto"/>
          </w:tcPr>
          <w:p w14:paraId="0A8FBEE5" w14:textId="77777777" w:rsidR="001C199A" w:rsidRPr="009E243B" w:rsidRDefault="001C199A" w:rsidP="00371878">
            <w:pPr>
              <w:numPr>
                <w:ilvl w:val="6"/>
                <w:numId w:val="6"/>
              </w:numPr>
              <w:ind w:left="720" w:hanging="720"/>
              <w:rPr>
                <w:rFonts w:ascii="Arial" w:hAnsi="Arial" w:cs="Arial"/>
                <w:b/>
                <w:sz w:val="20"/>
                <w:szCs w:val="20"/>
              </w:rPr>
            </w:pPr>
            <w:r w:rsidRPr="009E243B">
              <w:rPr>
                <w:rFonts w:ascii="Arial" w:hAnsi="Arial" w:cs="Arial"/>
                <w:b/>
                <w:sz w:val="20"/>
                <w:szCs w:val="20"/>
              </w:rPr>
              <w:t>PM</w:t>
            </w:r>
            <w:r w:rsidRPr="009E243B">
              <w:rPr>
                <w:rFonts w:ascii="Arial" w:hAnsi="Arial" w:cs="Arial"/>
                <w:b/>
                <w:sz w:val="20"/>
                <w:szCs w:val="20"/>
                <w:vertAlign w:val="subscript"/>
              </w:rPr>
              <w:t>2.5</w:t>
            </w:r>
            <w:r w:rsidRPr="009E243B">
              <w:rPr>
                <w:rFonts w:ascii="Arial" w:hAnsi="Arial" w:cs="Arial"/>
                <w:b/>
                <w:sz w:val="20"/>
                <w:szCs w:val="20"/>
              </w:rPr>
              <w:t xml:space="preserve"> Cost Effectiveness</w:t>
            </w:r>
          </w:p>
          <w:p w14:paraId="479AFCF5" w14:textId="77777777" w:rsidR="001C199A" w:rsidRPr="009E243B" w:rsidRDefault="001C199A" w:rsidP="00371878">
            <w:pPr>
              <w:rPr>
                <w:rFonts w:ascii="Arial" w:hAnsi="Arial" w:cs="Arial"/>
                <w:sz w:val="20"/>
                <w:szCs w:val="20"/>
              </w:rPr>
            </w:pPr>
            <w:r w:rsidRPr="009E243B">
              <w:rPr>
                <w:rFonts w:ascii="Arial" w:hAnsi="Arial" w:cs="Arial"/>
                <w:sz w:val="20"/>
                <w:szCs w:val="20"/>
              </w:rPr>
              <w:t xml:space="preserve">The </w:t>
            </w:r>
            <w:r>
              <w:rPr>
                <w:rFonts w:ascii="Arial" w:hAnsi="Arial" w:cs="Arial"/>
                <w:sz w:val="20"/>
                <w:szCs w:val="20"/>
              </w:rPr>
              <w:t xml:space="preserve">CACP </w:t>
            </w:r>
            <w:r w:rsidRPr="009E243B">
              <w:rPr>
                <w:rFonts w:ascii="Arial" w:hAnsi="Arial" w:cs="Arial"/>
                <w:sz w:val="20"/>
                <w:szCs w:val="20"/>
              </w:rPr>
              <w:t>funded share of the total project cost described in the application will be divided by the estimated total annual emission reduction of PM</w:t>
            </w:r>
            <w:r w:rsidRPr="009E243B">
              <w:rPr>
                <w:rFonts w:ascii="Arial" w:hAnsi="Arial" w:cs="Arial"/>
                <w:sz w:val="20"/>
                <w:szCs w:val="20"/>
                <w:vertAlign w:val="subscript"/>
              </w:rPr>
              <w:t>2.5</w:t>
            </w:r>
            <w:r w:rsidRPr="009E243B">
              <w:rPr>
                <w:rFonts w:ascii="Arial" w:hAnsi="Arial" w:cs="Arial"/>
                <w:sz w:val="20"/>
                <w:szCs w:val="20"/>
              </w:rPr>
              <w:t>, in short tons, to determine the cost-effectiveness of the project.  The low, medium, and high emission reduction range will be determined once all applications are received.</w:t>
            </w:r>
          </w:p>
          <w:p w14:paraId="1FE70B76" w14:textId="77777777" w:rsidR="001C199A" w:rsidRPr="009E243B" w:rsidRDefault="001C199A" w:rsidP="00371878">
            <w:pPr>
              <w:rPr>
                <w:rFonts w:ascii="Arial" w:hAnsi="Arial" w:cs="Arial"/>
                <w:sz w:val="20"/>
                <w:szCs w:val="20"/>
              </w:rPr>
            </w:pPr>
          </w:p>
          <w:tbl>
            <w:tblPr>
              <w:tblStyle w:val="TableGrid"/>
              <w:tblW w:w="0" w:type="auto"/>
              <w:tblLook w:val="04A0" w:firstRow="1" w:lastRow="0" w:firstColumn="1" w:lastColumn="0" w:noHBand="0" w:noVBand="1"/>
              <w:tblDescription w:val="free and reduced priced meals"/>
            </w:tblPr>
            <w:tblGrid>
              <w:gridCol w:w="3853"/>
              <w:gridCol w:w="3854"/>
            </w:tblGrid>
            <w:tr w:rsidR="001C199A" w:rsidRPr="009E243B" w14:paraId="6D18DCD9" w14:textId="77777777" w:rsidTr="003C075A">
              <w:trPr>
                <w:tblHeader/>
              </w:trPr>
              <w:tc>
                <w:tcPr>
                  <w:tcW w:w="3853" w:type="dxa"/>
                  <w:shd w:val="clear" w:color="auto" w:fill="DEEAF6" w:themeFill="accent1" w:themeFillTint="33"/>
                </w:tcPr>
                <w:p w14:paraId="7DAF7A24" w14:textId="77777777" w:rsidR="001C199A" w:rsidRPr="009E243B" w:rsidRDefault="001C199A" w:rsidP="002047EC">
                  <w:pPr>
                    <w:framePr w:hSpace="187" w:wrap="around" w:vAnchor="text" w:hAnchor="margin" w:y="-215"/>
                    <w:suppressOverlap/>
                    <w:jc w:val="center"/>
                    <w:rPr>
                      <w:rFonts w:ascii="Arial" w:hAnsi="Arial" w:cs="Arial"/>
                      <w:b/>
                      <w:sz w:val="20"/>
                      <w:szCs w:val="20"/>
                    </w:rPr>
                  </w:pPr>
                  <w:r w:rsidRPr="009E243B">
                    <w:rPr>
                      <w:rFonts w:ascii="Arial" w:hAnsi="Arial" w:cs="Arial"/>
                      <w:b/>
                      <w:sz w:val="20"/>
                      <w:szCs w:val="20"/>
                    </w:rPr>
                    <w:t>Cost Effectiveness Range</w:t>
                  </w:r>
                </w:p>
              </w:tc>
              <w:tc>
                <w:tcPr>
                  <w:tcW w:w="3854" w:type="dxa"/>
                  <w:shd w:val="clear" w:color="auto" w:fill="DEEAF6" w:themeFill="accent1" w:themeFillTint="33"/>
                </w:tcPr>
                <w:p w14:paraId="4FEDB3D5" w14:textId="77777777" w:rsidR="001C199A" w:rsidRPr="009E243B" w:rsidRDefault="001C199A" w:rsidP="002047EC">
                  <w:pPr>
                    <w:framePr w:hSpace="187" w:wrap="around" w:vAnchor="text" w:hAnchor="margin" w:y="-215"/>
                    <w:suppressOverlap/>
                    <w:jc w:val="center"/>
                    <w:rPr>
                      <w:rFonts w:ascii="Arial" w:hAnsi="Arial" w:cs="Arial"/>
                      <w:b/>
                      <w:sz w:val="20"/>
                      <w:szCs w:val="20"/>
                    </w:rPr>
                  </w:pPr>
                  <w:r w:rsidRPr="009E243B">
                    <w:rPr>
                      <w:rFonts w:ascii="Arial" w:hAnsi="Arial" w:cs="Arial"/>
                      <w:b/>
                      <w:sz w:val="20"/>
                      <w:szCs w:val="20"/>
                    </w:rPr>
                    <w:t>Points</w:t>
                  </w:r>
                </w:p>
              </w:tc>
            </w:tr>
            <w:tr w:rsidR="001C199A" w:rsidRPr="009E243B" w14:paraId="258A85C9" w14:textId="77777777" w:rsidTr="00371878">
              <w:tc>
                <w:tcPr>
                  <w:tcW w:w="3853" w:type="dxa"/>
                </w:tcPr>
                <w:p w14:paraId="6DDD754E"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 xml:space="preserve">High </w:t>
                  </w:r>
                </w:p>
              </w:tc>
              <w:tc>
                <w:tcPr>
                  <w:tcW w:w="3854" w:type="dxa"/>
                </w:tcPr>
                <w:p w14:paraId="63EA1091"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10</w:t>
                  </w:r>
                </w:p>
              </w:tc>
            </w:tr>
            <w:tr w:rsidR="001C199A" w:rsidRPr="009E243B" w14:paraId="718F6C34" w14:textId="77777777" w:rsidTr="00371878">
              <w:tc>
                <w:tcPr>
                  <w:tcW w:w="3853" w:type="dxa"/>
                </w:tcPr>
                <w:p w14:paraId="4E3B3434"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Medium</w:t>
                  </w:r>
                </w:p>
              </w:tc>
              <w:tc>
                <w:tcPr>
                  <w:tcW w:w="3854" w:type="dxa"/>
                </w:tcPr>
                <w:p w14:paraId="504E93F8"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 xml:space="preserve">5  </w:t>
                  </w:r>
                </w:p>
              </w:tc>
            </w:tr>
            <w:tr w:rsidR="001C199A" w:rsidRPr="009E243B" w14:paraId="28963D96" w14:textId="77777777" w:rsidTr="00371878">
              <w:tc>
                <w:tcPr>
                  <w:tcW w:w="3853" w:type="dxa"/>
                </w:tcPr>
                <w:p w14:paraId="2637024D"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Low</w:t>
                  </w:r>
                </w:p>
              </w:tc>
              <w:tc>
                <w:tcPr>
                  <w:tcW w:w="3854" w:type="dxa"/>
                </w:tcPr>
                <w:p w14:paraId="275FFDBF"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1</w:t>
                  </w:r>
                </w:p>
              </w:tc>
            </w:tr>
          </w:tbl>
          <w:p w14:paraId="26C57BFC" w14:textId="77777777" w:rsidR="001C199A" w:rsidRPr="009E243B" w:rsidRDefault="001C199A" w:rsidP="00371878">
            <w:pPr>
              <w:ind w:left="2790"/>
              <w:rPr>
                <w:rFonts w:ascii="Arial" w:hAnsi="Arial" w:cs="Arial"/>
                <w:b/>
                <w:sz w:val="20"/>
                <w:szCs w:val="20"/>
              </w:rPr>
            </w:pPr>
          </w:p>
        </w:tc>
        <w:tc>
          <w:tcPr>
            <w:tcW w:w="0" w:type="auto"/>
          </w:tcPr>
          <w:p w14:paraId="013239E2" w14:textId="77777777" w:rsidR="001C199A" w:rsidRPr="009E243B" w:rsidRDefault="001C199A" w:rsidP="00371878">
            <w:pPr>
              <w:jc w:val="center"/>
              <w:rPr>
                <w:rFonts w:ascii="Arial" w:hAnsi="Arial" w:cs="Arial"/>
                <w:sz w:val="20"/>
                <w:szCs w:val="20"/>
              </w:rPr>
            </w:pPr>
          </w:p>
          <w:p w14:paraId="7EE34394" w14:textId="77777777" w:rsidR="001C199A" w:rsidRPr="009E243B" w:rsidRDefault="001C199A" w:rsidP="00371878">
            <w:pPr>
              <w:jc w:val="center"/>
              <w:rPr>
                <w:rFonts w:ascii="Arial" w:hAnsi="Arial" w:cs="Arial"/>
                <w:sz w:val="20"/>
                <w:szCs w:val="20"/>
              </w:rPr>
            </w:pPr>
            <w:r w:rsidRPr="009E243B">
              <w:rPr>
                <w:rFonts w:ascii="Arial" w:hAnsi="Arial" w:cs="Arial"/>
                <w:sz w:val="20"/>
                <w:szCs w:val="20"/>
              </w:rPr>
              <w:t>10</w:t>
            </w:r>
          </w:p>
        </w:tc>
      </w:tr>
      <w:tr w:rsidR="001C199A" w:rsidRPr="009E243B" w14:paraId="0086F1B6" w14:textId="77777777" w:rsidTr="00371878">
        <w:trPr>
          <w:trHeight w:val="2582"/>
        </w:trPr>
        <w:tc>
          <w:tcPr>
            <w:tcW w:w="0" w:type="auto"/>
          </w:tcPr>
          <w:p w14:paraId="12CDBAFE" w14:textId="77777777" w:rsidR="001C199A" w:rsidRPr="009E243B" w:rsidRDefault="001C199A" w:rsidP="00371878">
            <w:pPr>
              <w:numPr>
                <w:ilvl w:val="6"/>
                <w:numId w:val="6"/>
              </w:numPr>
              <w:ind w:left="720" w:hanging="720"/>
              <w:rPr>
                <w:rFonts w:ascii="Arial" w:hAnsi="Arial" w:cs="Arial"/>
                <w:b/>
                <w:sz w:val="20"/>
                <w:szCs w:val="20"/>
              </w:rPr>
            </w:pPr>
            <w:r w:rsidRPr="009E243B">
              <w:rPr>
                <w:rFonts w:ascii="Arial" w:hAnsi="Arial" w:cs="Arial"/>
                <w:b/>
                <w:sz w:val="20"/>
                <w:szCs w:val="20"/>
              </w:rPr>
              <w:t>CO</w:t>
            </w:r>
            <w:r w:rsidRPr="009E243B">
              <w:rPr>
                <w:rFonts w:ascii="Arial" w:hAnsi="Arial" w:cs="Arial"/>
                <w:b/>
                <w:sz w:val="20"/>
                <w:szCs w:val="20"/>
                <w:vertAlign w:val="subscript"/>
              </w:rPr>
              <w:t>2</w:t>
            </w:r>
            <w:r w:rsidRPr="009E243B">
              <w:rPr>
                <w:rFonts w:ascii="Arial" w:hAnsi="Arial" w:cs="Arial"/>
                <w:b/>
                <w:sz w:val="20"/>
                <w:szCs w:val="20"/>
              </w:rPr>
              <w:t xml:space="preserve"> Cost Effectiveness</w:t>
            </w:r>
          </w:p>
          <w:p w14:paraId="798B6089" w14:textId="77777777" w:rsidR="001C199A" w:rsidRPr="009E243B" w:rsidRDefault="001C199A" w:rsidP="00371878">
            <w:pPr>
              <w:rPr>
                <w:rFonts w:ascii="Arial" w:hAnsi="Arial" w:cs="Arial"/>
                <w:sz w:val="20"/>
                <w:szCs w:val="20"/>
              </w:rPr>
            </w:pPr>
            <w:r w:rsidRPr="009E243B">
              <w:rPr>
                <w:rFonts w:ascii="Arial" w:hAnsi="Arial" w:cs="Arial"/>
                <w:sz w:val="20"/>
                <w:szCs w:val="20"/>
              </w:rPr>
              <w:t xml:space="preserve">The </w:t>
            </w:r>
            <w:r>
              <w:rPr>
                <w:rFonts w:ascii="Arial" w:hAnsi="Arial" w:cs="Arial"/>
                <w:sz w:val="20"/>
                <w:szCs w:val="20"/>
              </w:rPr>
              <w:t xml:space="preserve">CACP </w:t>
            </w:r>
            <w:r w:rsidRPr="009E243B">
              <w:rPr>
                <w:rFonts w:ascii="Arial" w:hAnsi="Arial" w:cs="Arial"/>
                <w:sz w:val="20"/>
                <w:szCs w:val="20"/>
              </w:rPr>
              <w:t>funded share of the total project cost described in the application will be divided by the estimated total annual emission reduction of CO</w:t>
            </w:r>
            <w:r w:rsidRPr="009E243B">
              <w:rPr>
                <w:rFonts w:ascii="Arial" w:hAnsi="Arial" w:cs="Arial"/>
                <w:sz w:val="20"/>
                <w:szCs w:val="20"/>
                <w:vertAlign w:val="subscript"/>
              </w:rPr>
              <w:t>2</w:t>
            </w:r>
            <w:r w:rsidRPr="009E243B">
              <w:rPr>
                <w:rFonts w:ascii="Arial" w:hAnsi="Arial" w:cs="Arial"/>
                <w:sz w:val="20"/>
                <w:szCs w:val="20"/>
              </w:rPr>
              <w:t>, in short tons, to determine the cost-effectiveness of the project.  The low, medium, and high emission reduction range will be determined once all applications are received.</w:t>
            </w:r>
          </w:p>
          <w:p w14:paraId="730365CC" w14:textId="77777777" w:rsidR="001C199A" w:rsidRPr="009E243B" w:rsidRDefault="001C199A" w:rsidP="00371878">
            <w:pPr>
              <w:rPr>
                <w:rFonts w:ascii="Arial" w:hAnsi="Arial" w:cs="Arial"/>
                <w:sz w:val="20"/>
                <w:szCs w:val="20"/>
              </w:rPr>
            </w:pPr>
          </w:p>
          <w:tbl>
            <w:tblPr>
              <w:tblStyle w:val="TableGrid"/>
              <w:tblW w:w="0" w:type="auto"/>
              <w:tblLook w:val="04A0" w:firstRow="1" w:lastRow="0" w:firstColumn="1" w:lastColumn="0" w:noHBand="0" w:noVBand="1"/>
              <w:tblDescription w:val="free and reduced priced meals"/>
            </w:tblPr>
            <w:tblGrid>
              <w:gridCol w:w="3853"/>
              <w:gridCol w:w="3854"/>
            </w:tblGrid>
            <w:tr w:rsidR="001C199A" w:rsidRPr="009E243B" w14:paraId="199E693D" w14:textId="77777777" w:rsidTr="003C075A">
              <w:trPr>
                <w:tblHeader/>
              </w:trPr>
              <w:tc>
                <w:tcPr>
                  <w:tcW w:w="3853" w:type="dxa"/>
                  <w:shd w:val="clear" w:color="auto" w:fill="DEEAF6" w:themeFill="accent1" w:themeFillTint="33"/>
                </w:tcPr>
                <w:p w14:paraId="64653107" w14:textId="77777777" w:rsidR="001C199A" w:rsidRPr="009E243B" w:rsidRDefault="001C199A" w:rsidP="002047EC">
                  <w:pPr>
                    <w:framePr w:hSpace="187" w:wrap="around" w:vAnchor="text" w:hAnchor="margin" w:y="-215"/>
                    <w:suppressOverlap/>
                    <w:jc w:val="center"/>
                    <w:rPr>
                      <w:rFonts w:ascii="Arial" w:hAnsi="Arial" w:cs="Arial"/>
                      <w:b/>
                      <w:sz w:val="20"/>
                      <w:szCs w:val="20"/>
                    </w:rPr>
                  </w:pPr>
                  <w:r w:rsidRPr="009E243B">
                    <w:rPr>
                      <w:rFonts w:ascii="Arial" w:hAnsi="Arial" w:cs="Arial"/>
                      <w:b/>
                      <w:sz w:val="20"/>
                      <w:szCs w:val="20"/>
                    </w:rPr>
                    <w:t>Cost Effectiveness Range</w:t>
                  </w:r>
                </w:p>
              </w:tc>
              <w:tc>
                <w:tcPr>
                  <w:tcW w:w="3854" w:type="dxa"/>
                  <w:shd w:val="clear" w:color="auto" w:fill="DEEAF6" w:themeFill="accent1" w:themeFillTint="33"/>
                </w:tcPr>
                <w:p w14:paraId="1916C55E" w14:textId="77777777" w:rsidR="001C199A" w:rsidRPr="009E243B" w:rsidRDefault="001C199A" w:rsidP="002047EC">
                  <w:pPr>
                    <w:framePr w:hSpace="187" w:wrap="around" w:vAnchor="text" w:hAnchor="margin" w:y="-215"/>
                    <w:suppressOverlap/>
                    <w:jc w:val="center"/>
                    <w:rPr>
                      <w:rFonts w:ascii="Arial" w:hAnsi="Arial" w:cs="Arial"/>
                      <w:b/>
                      <w:sz w:val="20"/>
                      <w:szCs w:val="20"/>
                    </w:rPr>
                  </w:pPr>
                  <w:r w:rsidRPr="009E243B">
                    <w:rPr>
                      <w:rFonts w:ascii="Arial" w:hAnsi="Arial" w:cs="Arial"/>
                      <w:b/>
                      <w:sz w:val="20"/>
                      <w:szCs w:val="20"/>
                    </w:rPr>
                    <w:t>Points</w:t>
                  </w:r>
                </w:p>
              </w:tc>
            </w:tr>
            <w:tr w:rsidR="001C199A" w:rsidRPr="009E243B" w14:paraId="42131844" w14:textId="77777777" w:rsidTr="00371878">
              <w:tc>
                <w:tcPr>
                  <w:tcW w:w="3853" w:type="dxa"/>
                </w:tcPr>
                <w:p w14:paraId="6D380493"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 xml:space="preserve">High </w:t>
                  </w:r>
                </w:p>
              </w:tc>
              <w:tc>
                <w:tcPr>
                  <w:tcW w:w="3854" w:type="dxa"/>
                </w:tcPr>
                <w:p w14:paraId="19147D2E"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10</w:t>
                  </w:r>
                </w:p>
              </w:tc>
            </w:tr>
            <w:tr w:rsidR="001C199A" w:rsidRPr="009E243B" w14:paraId="2BDA4011" w14:textId="77777777" w:rsidTr="00371878">
              <w:tc>
                <w:tcPr>
                  <w:tcW w:w="3853" w:type="dxa"/>
                </w:tcPr>
                <w:p w14:paraId="7196B846"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Medium</w:t>
                  </w:r>
                </w:p>
              </w:tc>
              <w:tc>
                <w:tcPr>
                  <w:tcW w:w="3854" w:type="dxa"/>
                </w:tcPr>
                <w:p w14:paraId="3E2851E3"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5</w:t>
                  </w:r>
                </w:p>
              </w:tc>
            </w:tr>
            <w:tr w:rsidR="001C199A" w:rsidRPr="009E243B" w14:paraId="06D8A5CA" w14:textId="77777777" w:rsidTr="00371878">
              <w:tc>
                <w:tcPr>
                  <w:tcW w:w="3853" w:type="dxa"/>
                </w:tcPr>
                <w:p w14:paraId="6ED89467"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Low</w:t>
                  </w:r>
                </w:p>
              </w:tc>
              <w:tc>
                <w:tcPr>
                  <w:tcW w:w="3854" w:type="dxa"/>
                </w:tcPr>
                <w:p w14:paraId="05C23785" w14:textId="77777777" w:rsidR="001C199A" w:rsidRPr="009E243B" w:rsidRDefault="001C199A" w:rsidP="002047EC">
                  <w:pPr>
                    <w:framePr w:hSpace="187" w:wrap="around" w:vAnchor="text" w:hAnchor="margin" w:y="-215"/>
                    <w:suppressOverlap/>
                    <w:jc w:val="center"/>
                    <w:rPr>
                      <w:rFonts w:ascii="Arial" w:hAnsi="Arial" w:cs="Arial"/>
                      <w:sz w:val="20"/>
                      <w:szCs w:val="20"/>
                    </w:rPr>
                  </w:pPr>
                  <w:r w:rsidRPr="009E243B">
                    <w:rPr>
                      <w:rFonts w:ascii="Arial" w:hAnsi="Arial" w:cs="Arial"/>
                      <w:sz w:val="20"/>
                      <w:szCs w:val="20"/>
                    </w:rPr>
                    <w:t>1</w:t>
                  </w:r>
                </w:p>
              </w:tc>
            </w:tr>
          </w:tbl>
          <w:p w14:paraId="405CD9E6" w14:textId="77777777" w:rsidR="001C199A" w:rsidRPr="009E243B" w:rsidRDefault="001C199A" w:rsidP="00371878">
            <w:pPr>
              <w:rPr>
                <w:rFonts w:ascii="Arial" w:hAnsi="Arial" w:cs="Arial"/>
                <w:sz w:val="20"/>
                <w:szCs w:val="20"/>
              </w:rPr>
            </w:pPr>
          </w:p>
        </w:tc>
        <w:tc>
          <w:tcPr>
            <w:tcW w:w="0" w:type="auto"/>
          </w:tcPr>
          <w:p w14:paraId="45202A24" w14:textId="77777777" w:rsidR="001C199A" w:rsidRPr="009E243B" w:rsidRDefault="001C199A" w:rsidP="00371878">
            <w:pPr>
              <w:jc w:val="center"/>
              <w:rPr>
                <w:rFonts w:ascii="Arial" w:hAnsi="Arial" w:cs="Arial"/>
                <w:sz w:val="20"/>
                <w:szCs w:val="20"/>
              </w:rPr>
            </w:pPr>
          </w:p>
          <w:p w14:paraId="7DFD7BE5" w14:textId="77777777" w:rsidR="001C199A" w:rsidRPr="009E243B" w:rsidRDefault="001C199A" w:rsidP="00371878">
            <w:pPr>
              <w:jc w:val="center"/>
              <w:rPr>
                <w:rFonts w:ascii="Arial" w:hAnsi="Arial" w:cs="Arial"/>
                <w:sz w:val="20"/>
                <w:szCs w:val="20"/>
              </w:rPr>
            </w:pPr>
            <w:r w:rsidRPr="009E243B">
              <w:rPr>
                <w:rFonts w:ascii="Arial" w:hAnsi="Arial" w:cs="Arial"/>
                <w:sz w:val="20"/>
                <w:szCs w:val="20"/>
              </w:rPr>
              <w:t>10</w:t>
            </w:r>
          </w:p>
        </w:tc>
      </w:tr>
      <w:tr w:rsidR="001C199A" w:rsidRPr="009E243B" w14:paraId="4837332F" w14:textId="77777777" w:rsidTr="003C075A">
        <w:tc>
          <w:tcPr>
            <w:tcW w:w="0" w:type="auto"/>
            <w:shd w:val="clear" w:color="auto" w:fill="DEEAF6" w:themeFill="accent1" w:themeFillTint="33"/>
          </w:tcPr>
          <w:p w14:paraId="53F38DC9" w14:textId="77777777" w:rsidR="001C199A" w:rsidRPr="009E243B" w:rsidRDefault="001C199A" w:rsidP="00371878">
            <w:pPr>
              <w:jc w:val="right"/>
              <w:rPr>
                <w:rFonts w:ascii="Arial" w:hAnsi="Arial" w:cs="Arial"/>
                <w:b/>
                <w:sz w:val="20"/>
                <w:szCs w:val="20"/>
              </w:rPr>
            </w:pPr>
            <w:r w:rsidRPr="009E243B">
              <w:rPr>
                <w:rFonts w:ascii="Arial" w:hAnsi="Arial" w:cs="Arial"/>
                <w:b/>
                <w:sz w:val="20"/>
                <w:szCs w:val="20"/>
              </w:rPr>
              <w:t>Total Possible Points</w:t>
            </w:r>
          </w:p>
        </w:tc>
        <w:tc>
          <w:tcPr>
            <w:tcW w:w="0" w:type="auto"/>
            <w:shd w:val="clear" w:color="auto" w:fill="DEEAF6" w:themeFill="accent1" w:themeFillTint="33"/>
          </w:tcPr>
          <w:p w14:paraId="41933A7A" w14:textId="77777777" w:rsidR="001C199A" w:rsidRPr="009E243B" w:rsidRDefault="001C199A" w:rsidP="00371878">
            <w:pPr>
              <w:jc w:val="center"/>
              <w:rPr>
                <w:rFonts w:ascii="Arial" w:hAnsi="Arial" w:cs="Arial"/>
                <w:b/>
                <w:sz w:val="20"/>
                <w:szCs w:val="20"/>
              </w:rPr>
            </w:pPr>
            <w:r>
              <w:rPr>
                <w:rFonts w:ascii="Arial" w:hAnsi="Arial" w:cs="Arial"/>
                <w:b/>
                <w:sz w:val="20"/>
                <w:szCs w:val="20"/>
              </w:rPr>
              <w:t>11</w:t>
            </w:r>
            <w:r w:rsidRPr="009E243B">
              <w:rPr>
                <w:rFonts w:ascii="Arial" w:hAnsi="Arial" w:cs="Arial"/>
                <w:b/>
                <w:sz w:val="20"/>
                <w:szCs w:val="20"/>
              </w:rPr>
              <w:t>0</w:t>
            </w:r>
          </w:p>
        </w:tc>
      </w:tr>
    </w:tbl>
    <w:p w14:paraId="7DADB78B" w14:textId="7B8982C0" w:rsidR="00A76FCD" w:rsidRPr="00BE5147" w:rsidRDefault="00A76FCD">
      <w:pPr>
        <w:spacing w:before="122"/>
        <w:ind w:right="288"/>
        <w:textAlignment w:val="baseline"/>
        <w:rPr>
          <w:rFonts w:ascii="Arial" w:hAnsi="Arial" w:cs="Arial"/>
          <w:b/>
          <w:color w:val="000000"/>
          <w:sz w:val="20"/>
          <w:szCs w:val="20"/>
        </w:rPr>
      </w:pPr>
      <w:r w:rsidRPr="00BE5147">
        <w:rPr>
          <w:rFonts w:ascii="Arial" w:hAnsi="Arial" w:cs="Arial"/>
          <w:b/>
          <w:color w:val="000000"/>
          <w:sz w:val="20"/>
          <w:szCs w:val="20"/>
        </w:rPr>
        <w:lastRenderedPageBreak/>
        <w:t>Applications</w:t>
      </w:r>
    </w:p>
    <w:p w14:paraId="41E6DB3B" w14:textId="456DB431" w:rsidR="002940AC" w:rsidRDefault="00C3598B" w:rsidP="008A681D">
      <w:pPr>
        <w:spacing w:before="122"/>
        <w:ind w:right="288"/>
        <w:textAlignment w:val="baseline"/>
        <w:rPr>
          <w:rFonts w:ascii="Arial" w:hAnsi="Arial" w:cs="Arial"/>
          <w:color w:val="000000"/>
          <w:sz w:val="20"/>
          <w:szCs w:val="20"/>
        </w:rPr>
      </w:pPr>
      <w:r w:rsidRPr="00BE5147">
        <w:rPr>
          <w:rFonts w:ascii="Arial" w:hAnsi="Arial" w:cs="Arial"/>
          <w:color w:val="000000"/>
          <w:sz w:val="20"/>
          <w:szCs w:val="20"/>
        </w:rPr>
        <w:t>An e</w:t>
      </w:r>
      <w:r w:rsidR="00072389" w:rsidRPr="00BE5147">
        <w:rPr>
          <w:rFonts w:ascii="Arial" w:hAnsi="Arial" w:cs="Arial"/>
          <w:color w:val="000000"/>
          <w:sz w:val="20"/>
          <w:szCs w:val="20"/>
        </w:rPr>
        <w:t xml:space="preserve">ligible applicant may </w:t>
      </w:r>
      <w:r w:rsidRPr="00BE5147">
        <w:rPr>
          <w:rFonts w:ascii="Arial" w:hAnsi="Arial" w:cs="Arial"/>
          <w:color w:val="000000"/>
          <w:sz w:val="20"/>
          <w:szCs w:val="20"/>
        </w:rPr>
        <w:t xml:space="preserve">apply for up to </w:t>
      </w:r>
      <w:r w:rsidR="00072389" w:rsidRPr="002940AC">
        <w:rPr>
          <w:rFonts w:ascii="Arial" w:hAnsi="Arial" w:cs="Arial"/>
          <w:color w:val="000000"/>
          <w:sz w:val="20"/>
          <w:szCs w:val="20"/>
        </w:rPr>
        <w:t>t</w:t>
      </w:r>
      <w:r w:rsidRPr="002940AC">
        <w:rPr>
          <w:rFonts w:ascii="Arial" w:hAnsi="Arial" w:cs="Arial"/>
          <w:color w:val="000000"/>
          <w:sz w:val="20"/>
          <w:szCs w:val="20"/>
        </w:rPr>
        <w:t>hree</w:t>
      </w:r>
      <w:r w:rsidR="00072389" w:rsidRPr="00BE5147">
        <w:rPr>
          <w:rFonts w:ascii="Arial" w:hAnsi="Arial" w:cs="Arial"/>
          <w:color w:val="000000"/>
          <w:sz w:val="20"/>
          <w:szCs w:val="20"/>
        </w:rPr>
        <w:t xml:space="preserve"> </w:t>
      </w:r>
      <w:r w:rsidRPr="00BE5147">
        <w:rPr>
          <w:rFonts w:ascii="Arial" w:hAnsi="Arial" w:cs="Arial"/>
          <w:color w:val="000000"/>
          <w:sz w:val="20"/>
          <w:szCs w:val="20"/>
        </w:rPr>
        <w:t>eligible project types</w:t>
      </w:r>
      <w:r w:rsidR="00D6717E" w:rsidRPr="00BE5147">
        <w:rPr>
          <w:rFonts w:ascii="Arial" w:hAnsi="Arial" w:cs="Arial"/>
          <w:color w:val="000000"/>
          <w:sz w:val="20"/>
          <w:szCs w:val="20"/>
        </w:rPr>
        <w:t xml:space="preserve"> (see Appendix </w:t>
      </w:r>
      <w:r w:rsidR="0062645C" w:rsidRPr="00BE5147">
        <w:rPr>
          <w:rFonts w:ascii="Arial" w:hAnsi="Arial" w:cs="Arial"/>
          <w:color w:val="000000"/>
          <w:sz w:val="20"/>
          <w:szCs w:val="20"/>
        </w:rPr>
        <w:t xml:space="preserve">A </w:t>
      </w:r>
      <w:r w:rsidR="002077FA" w:rsidRPr="00BE5147">
        <w:rPr>
          <w:rFonts w:ascii="Arial" w:hAnsi="Arial" w:cs="Arial"/>
          <w:color w:val="000000"/>
          <w:sz w:val="20"/>
          <w:szCs w:val="20"/>
        </w:rPr>
        <w:t>for the Clean Air Communities Program application</w:t>
      </w:r>
      <w:r w:rsidR="0062645C" w:rsidRPr="00BE5147">
        <w:rPr>
          <w:rFonts w:ascii="Arial" w:hAnsi="Arial" w:cs="Arial"/>
          <w:color w:val="000000"/>
          <w:sz w:val="20"/>
          <w:szCs w:val="20"/>
        </w:rPr>
        <w:t xml:space="preserve"> template</w:t>
      </w:r>
      <w:r w:rsidR="00D6717E" w:rsidRPr="00BE5147">
        <w:rPr>
          <w:rFonts w:ascii="Arial" w:hAnsi="Arial" w:cs="Arial"/>
          <w:color w:val="000000"/>
          <w:sz w:val="20"/>
          <w:szCs w:val="20"/>
        </w:rPr>
        <w:t>)</w:t>
      </w:r>
      <w:r w:rsidRPr="00BE5147">
        <w:rPr>
          <w:rFonts w:ascii="Arial" w:hAnsi="Arial" w:cs="Arial"/>
          <w:color w:val="000000"/>
          <w:sz w:val="20"/>
          <w:szCs w:val="20"/>
        </w:rPr>
        <w:t>.</w:t>
      </w:r>
      <w:r w:rsidR="00072389" w:rsidRPr="00BE5147">
        <w:rPr>
          <w:rFonts w:ascii="Arial" w:hAnsi="Arial" w:cs="Arial"/>
          <w:color w:val="000000"/>
          <w:sz w:val="20"/>
          <w:szCs w:val="20"/>
        </w:rPr>
        <w:t xml:space="preserve"> </w:t>
      </w:r>
      <w:r w:rsidRPr="00BE5147">
        <w:rPr>
          <w:rFonts w:ascii="Arial" w:hAnsi="Arial" w:cs="Arial"/>
          <w:color w:val="000000"/>
          <w:sz w:val="20"/>
          <w:szCs w:val="20"/>
        </w:rPr>
        <w:t>Applicants must submit a</w:t>
      </w:r>
      <w:r w:rsidR="00072389" w:rsidRPr="00BE5147">
        <w:rPr>
          <w:rFonts w:ascii="Arial" w:hAnsi="Arial" w:cs="Arial"/>
          <w:color w:val="000000"/>
          <w:sz w:val="20"/>
          <w:szCs w:val="20"/>
        </w:rPr>
        <w:t xml:space="preserve"> separate application </w:t>
      </w:r>
      <w:r w:rsidR="009416D6">
        <w:rPr>
          <w:rFonts w:ascii="Arial" w:hAnsi="Arial" w:cs="Arial"/>
          <w:color w:val="000000"/>
          <w:sz w:val="20"/>
          <w:szCs w:val="20"/>
        </w:rPr>
        <w:t xml:space="preserve">per </w:t>
      </w:r>
      <w:r w:rsidR="00800289">
        <w:rPr>
          <w:rFonts w:ascii="Arial" w:hAnsi="Arial" w:cs="Arial"/>
          <w:color w:val="000000"/>
          <w:sz w:val="20"/>
          <w:szCs w:val="20"/>
        </w:rPr>
        <w:t xml:space="preserve">eligible </w:t>
      </w:r>
      <w:r w:rsidR="00072389" w:rsidRPr="00BE5147">
        <w:rPr>
          <w:rFonts w:ascii="Arial" w:hAnsi="Arial" w:cs="Arial"/>
          <w:color w:val="000000"/>
          <w:sz w:val="20"/>
          <w:szCs w:val="20"/>
        </w:rPr>
        <w:t>project</w:t>
      </w:r>
      <w:r w:rsidR="009416D6">
        <w:rPr>
          <w:rFonts w:ascii="Arial" w:hAnsi="Arial" w:cs="Arial"/>
          <w:color w:val="000000"/>
          <w:sz w:val="20"/>
          <w:szCs w:val="20"/>
        </w:rPr>
        <w:t>.</w:t>
      </w:r>
      <w:r w:rsidR="00800289">
        <w:rPr>
          <w:rFonts w:ascii="Arial" w:hAnsi="Arial" w:cs="Arial"/>
          <w:color w:val="000000"/>
          <w:sz w:val="20"/>
          <w:szCs w:val="20"/>
        </w:rPr>
        <w:t xml:space="preserve"> </w:t>
      </w:r>
      <w:r w:rsidR="009416D6">
        <w:rPr>
          <w:rFonts w:ascii="Arial" w:hAnsi="Arial" w:cs="Arial"/>
          <w:color w:val="000000"/>
          <w:sz w:val="20"/>
          <w:szCs w:val="20"/>
        </w:rPr>
        <w:t xml:space="preserve">An </w:t>
      </w:r>
      <w:r w:rsidR="009927E9" w:rsidRPr="002940AC">
        <w:rPr>
          <w:rFonts w:ascii="Arial" w:hAnsi="Arial" w:cs="Arial"/>
          <w:color w:val="000000"/>
          <w:sz w:val="20"/>
          <w:szCs w:val="20"/>
        </w:rPr>
        <w:t>application</w:t>
      </w:r>
      <w:r w:rsidRPr="002940AC">
        <w:rPr>
          <w:rFonts w:ascii="Arial" w:hAnsi="Arial" w:cs="Arial"/>
          <w:color w:val="000000"/>
          <w:sz w:val="20"/>
          <w:szCs w:val="20"/>
        </w:rPr>
        <w:t xml:space="preserve"> containing more than one eligible project will not be considered for funding.</w:t>
      </w:r>
      <w:r w:rsidR="000C1EE6" w:rsidRPr="002940AC">
        <w:rPr>
          <w:rFonts w:ascii="Arial" w:hAnsi="Arial" w:cs="Arial"/>
          <w:color w:val="000000"/>
          <w:sz w:val="20"/>
          <w:szCs w:val="20"/>
        </w:rPr>
        <w:t xml:space="preserve"> </w:t>
      </w:r>
    </w:p>
    <w:p w14:paraId="14A58148" w14:textId="0FB02B04" w:rsidR="00072389" w:rsidRPr="00BE5147" w:rsidRDefault="00072389">
      <w:pPr>
        <w:spacing w:before="122"/>
        <w:ind w:right="288"/>
        <w:textAlignment w:val="baseline"/>
        <w:rPr>
          <w:rFonts w:ascii="Arial" w:hAnsi="Arial" w:cs="Arial"/>
          <w:color w:val="000000"/>
          <w:sz w:val="20"/>
          <w:szCs w:val="20"/>
        </w:rPr>
      </w:pPr>
      <w:r w:rsidRPr="00BE5147">
        <w:rPr>
          <w:rFonts w:ascii="Arial" w:hAnsi="Arial" w:cs="Arial"/>
          <w:color w:val="000000"/>
          <w:sz w:val="20"/>
          <w:szCs w:val="20"/>
        </w:rPr>
        <w:t xml:space="preserve">Electronic submittals are preferred and </w:t>
      </w:r>
      <w:r w:rsidRPr="00BE5147">
        <w:rPr>
          <w:rFonts w:ascii="Arial" w:hAnsi="Arial" w:cs="Arial"/>
          <w:sz w:val="20"/>
          <w:szCs w:val="20"/>
        </w:rPr>
        <w:t>should be sent to</w:t>
      </w:r>
      <w:r w:rsidR="008829BB" w:rsidRPr="00BE5147">
        <w:rPr>
          <w:rFonts w:ascii="Arial" w:hAnsi="Arial" w:cs="Arial"/>
          <w:sz w:val="20"/>
          <w:szCs w:val="20"/>
        </w:rPr>
        <w:t xml:space="preserve"> </w:t>
      </w:r>
      <w:r w:rsidR="00FA0915">
        <w:rPr>
          <w:rFonts w:ascii="Arial" w:hAnsi="Arial" w:cs="Arial"/>
          <w:color w:val="0000FF"/>
          <w:sz w:val="20"/>
          <w:szCs w:val="20"/>
          <w:u w:val="single"/>
        </w:rPr>
        <w:t>VW</w:t>
      </w:r>
      <w:r w:rsidR="00FA0915" w:rsidRPr="0059402A">
        <w:rPr>
          <w:rFonts w:ascii="Arial" w:hAnsi="Arial" w:cs="Arial"/>
          <w:color w:val="0000FF"/>
          <w:sz w:val="20"/>
          <w:szCs w:val="20"/>
          <w:u w:val="single"/>
        </w:rPr>
        <w:t>mitigation@</w:t>
      </w:r>
      <w:r w:rsidR="00FA0915">
        <w:rPr>
          <w:rFonts w:ascii="Arial" w:hAnsi="Arial" w:cs="Arial"/>
          <w:color w:val="0000FF"/>
          <w:sz w:val="20"/>
          <w:szCs w:val="20"/>
          <w:u w:val="single"/>
        </w:rPr>
        <w:t>DEQ.v</w:t>
      </w:r>
      <w:r w:rsidR="00FA0915" w:rsidRPr="0059402A">
        <w:rPr>
          <w:rFonts w:ascii="Arial" w:hAnsi="Arial" w:cs="Arial"/>
          <w:color w:val="0000FF"/>
          <w:sz w:val="20"/>
          <w:szCs w:val="20"/>
          <w:u w:val="single"/>
        </w:rPr>
        <w:t>irginia.gov</w:t>
      </w:r>
      <w:r w:rsidR="00826135">
        <w:rPr>
          <w:rFonts w:ascii="Arial" w:hAnsi="Arial" w:cs="Arial"/>
          <w:sz w:val="20"/>
          <w:szCs w:val="20"/>
        </w:rPr>
        <w:t>.</w:t>
      </w:r>
      <w:r w:rsidRPr="00BE5147">
        <w:rPr>
          <w:rFonts w:ascii="Arial" w:hAnsi="Arial" w:cs="Arial"/>
          <w:sz w:val="20"/>
          <w:szCs w:val="20"/>
        </w:rPr>
        <w:t xml:space="preserve"> </w:t>
      </w:r>
      <w:r w:rsidR="00826135">
        <w:rPr>
          <w:rFonts w:ascii="Arial" w:hAnsi="Arial" w:cs="Arial"/>
          <w:sz w:val="20"/>
          <w:szCs w:val="20"/>
        </w:rPr>
        <w:t xml:space="preserve">Paper </w:t>
      </w:r>
      <w:r w:rsidRPr="00BE5147">
        <w:rPr>
          <w:rFonts w:ascii="Arial" w:hAnsi="Arial" w:cs="Arial"/>
          <w:color w:val="000000"/>
          <w:sz w:val="20"/>
          <w:szCs w:val="20"/>
        </w:rPr>
        <w:t xml:space="preserve">submittals will also be accepted and should be </w:t>
      </w:r>
      <w:r w:rsidR="00BA4EC9">
        <w:rPr>
          <w:rFonts w:ascii="Arial" w:hAnsi="Arial" w:cs="Arial"/>
          <w:color w:val="000000"/>
          <w:sz w:val="20"/>
          <w:szCs w:val="20"/>
        </w:rPr>
        <w:t xml:space="preserve">mailed </w:t>
      </w:r>
      <w:r w:rsidRPr="00BE5147">
        <w:rPr>
          <w:rFonts w:ascii="Arial" w:hAnsi="Arial" w:cs="Arial"/>
          <w:color w:val="000000"/>
          <w:sz w:val="20"/>
          <w:szCs w:val="20"/>
        </w:rPr>
        <w:t>to:</w:t>
      </w:r>
    </w:p>
    <w:p w14:paraId="2C5D5CCE" w14:textId="77777777" w:rsidR="00072389" w:rsidRPr="00BE5147" w:rsidRDefault="00072389">
      <w:pPr>
        <w:spacing w:before="253"/>
        <w:ind w:left="720"/>
        <w:textAlignment w:val="baseline"/>
        <w:rPr>
          <w:rFonts w:ascii="Arial" w:hAnsi="Arial" w:cs="Arial"/>
          <w:color w:val="000000"/>
          <w:sz w:val="20"/>
          <w:szCs w:val="20"/>
        </w:rPr>
      </w:pPr>
      <w:r w:rsidRPr="00BE5147">
        <w:rPr>
          <w:rFonts w:ascii="Arial" w:hAnsi="Arial" w:cs="Arial"/>
          <w:color w:val="000000"/>
          <w:sz w:val="20"/>
          <w:szCs w:val="20"/>
        </w:rPr>
        <w:t xml:space="preserve">Virginia Department of Environmental Quality </w:t>
      </w:r>
    </w:p>
    <w:p w14:paraId="14BE26C7" w14:textId="3C14CE3F" w:rsidR="00072389" w:rsidRPr="00BE5147" w:rsidRDefault="00072389">
      <w:pPr>
        <w:ind w:left="720"/>
        <w:textAlignment w:val="baseline"/>
        <w:rPr>
          <w:rFonts w:ascii="Arial" w:hAnsi="Arial" w:cs="Arial"/>
          <w:color w:val="000000"/>
          <w:sz w:val="20"/>
          <w:szCs w:val="20"/>
        </w:rPr>
      </w:pPr>
      <w:r w:rsidRPr="00BE5147">
        <w:rPr>
          <w:rFonts w:ascii="Arial" w:hAnsi="Arial" w:cs="Arial"/>
          <w:color w:val="000000"/>
          <w:sz w:val="20"/>
          <w:szCs w:val="20"/>
        </w:rPr>
        <w:t>Division of Air and Renewable Energy</w:t>
      </w:r>
      <w:r w:rsidR="000C1EE6" w:rsidRPr="00BE5147">
        <w:rPr>
          <w:rFonts w:ascii="Arial" w:hAnsi="Arial" w:cs="Arial"/>
          <w:color w:val="000000"/>
          <w:sz w:val="20"/>
          <w:szCs w:val="20"/>
        </w:rPr>
        <w:t xml:space="preserve"> </w:t>
      </w:r>
    </w:p>
    <w:p w14:paraId="639516D7" w14:textId="5E8C2245" w:rsidR="008829BB" w:rsidRPr="00BE5147" w:rsidRDefault="008829BB">
      <w:pPr>
        <w:ind w:left="720"/>
        <w:textAlignment w:val="baseline"/>
        <w:rPr>
          <w:rFonts w:ascii="Arial" w:hAnsi="Arial" w:cs="Arial"/>
          <w:color w:val="000000"/>
          <w:sz w:val="20"/>
          <w:szCs w:val="20"/>
        </w:rPr>
      </w:pPr>
      <w:r w:rsidRPr="00BE5147">
        <w:rPr>
          <w:rFonts w:ascii="Arial" w:hAnsi="Arial" w:cs="Arial"/>
          <w:color w:val="000000"/>
          <w:sz w:val="20"/>
          <w:szCs w:val="20"/>
        </w:rPr>
        <w:t>Attn: VW Settlement</w:t>
      </w:r>
    </w:p>
    <w:p w14:paraId="5DE24EE6" w14:textId="25CD2BCB" w:rsidR="00072389" w:rsidRPr="00BE5147" w:rsidRDefault="008829BB">
      <w:pPr>
        <w:ind w:left="720"/>
        <w:textAlignment w:val="baseline"/>
        <w:rPr>
          <w:rFonts w:ascii="Arial" w:hAnsi="Arial" w:cs="Arial"/>
          <w:color w:val="000000"/>
          <w:sz w:val="20"/>
          <w:szCs w:val="20"/>
        </w:rPr>
      </w:pPr>
      <w:r w:rsidRPr="00BE5147">
        <w:rPr>
          <w:rFonts w:ascii="Arial" w:hAnsi="Arial" w:cs="Arial"/>
          <w:color w:val="000000"/>
          <w:sz w:val="20"/>
          <w:szCs w:val="20"/>
        </w:rPr>
        <w:t>PO Box 1105</w:t>
      </w:r>
    </w:p>
    <w:p w14:paraId="4DF9A6A5" w14:textId="34AE6D2C" w:rsidR="00072389" w:rsidRDefault="00072389">
      <w:pPr>
        <w:ind w:left="720"/>
        <w:textAlignment w:val="baseline"/>
        <w:rPr>
          <w:rFonts w:ascii="Arial" w:hAnsi="Arial" w:cs="Arial"/>
          <w:color w:val="000000"/>
          <w:sz w:val="20"/>
          <w:szCs w:val="20"/>
        </w:rPr>
      </w:pPr>
      <w:r w:rsidRPr="00BE5147">
        <w:rPr>
          <w:rFonts w:ascii="Arial" w:hAnsi="Arial" w:cs="Arial"/>
          <w:color w:val="000000"/>
          <w:sz w:val="20"/>
          <w:szCs w:val="20"/>
        </w:rPr>
        <w:t>Richmond, VA 2321</w:t>
      </w:r>
      <w:r w:rsidR="008829BB" w:rsidRPr="00BE5147">
        <w:rPr>
          <w:rFonts w:ascii="Arial" w:hAnsi="Arial" w:cs="Arial"/>
          <w:color w:val="000000"/>
          <w:sz w:val="20"/>
          <w:szCs w:val="20"/>
        </w:rPr>
        <w:t>8</w:t>
      </w:r>
    </w:p>
    <w:p w14:paraId="190BA823" w14:textId="715BAA8B" w:rsidR="00BA4EC9" w:rsidRDefault="00BA4EC9">
      <w:pPr>
        <w:ind w:left="720"/>
        <w:textAlignment w:val="baseline"/>
        <w:rPr>
          <w:rFonts w:ascii="Cambria" w:hAnsi="Cambria"/>
        </w:rPr>
      </w:pPr>
    </w:p>
    <w:p w14:paraId="229EEF40" w14:textId="436E0C26" w:rsidR="00BA4EC9" w:rsidRDefault="00CB7E36" w:rsidP="00BA4EC9">
      <w:pPr>
        <w:textAlignment w:val="baseline"/>
        <w:rPr>
          <w:rFonts w:ascii="Arial" w:hAnsi="Arial" w:cs="Arial"/>
          <w:color w:val="000000"/>
          <w:sz w:val="20"/>
          <w:szCs w:val="20"/>
        </w:rPr>
      </w:pPr>
      <w:r>
        <w:rPr>
          <w:rFonts w:ascii="Arial" w:hAnsi="Arial" w:cs="Arial"/>
          <w:color w:val="000000"/>
          <w:sz w:val="20"/>
          <w:szCs w:val="20"/>
        </w:rPr>
        <w:t xml:space="preserve">DEQ is not accepting </w:t>
      </w:r>
      <w:r w:rsidR="00BA4EC9">
        <w:rPr>
          <w:rFonts w:ascii="Arial" w:hAnsi="Arial" w:cs="Arial"/>
          <w:color w:val="000000"/>
          <w:sz w:val="20"/>
          <w:szCs w:val="20"/>
        </w:rPr>
        <w:t xml:space="preserve">applications </w:t>
      </w:r>
      <w:r>
        <w:rPr>
          <w:rFonts w:ascii="Arial" w:hAnsi="Arial" w:cs="Arial"/>
          <w:color w:val="000000"/>
          <w:sz w:val="20"/>
          <w:szCs w:val="20"/>
        </w:rPr>
        <w:t xml:space="preserve">delivered by courier or hand delivered. </w:t>
      </w:r>
    </w:p>
    <w:p w14:paraId="6FD4E578" w14:textId="262066F9" w:rsidR="008A681D" w:rsidRDefault="008A681D" w:rsidP="00BA4EC9">
      <w:pPr>
        <w:textAlignment w:val="baseline"/>
        <w:rPr>
          <w:rFonts w:ascii="Arial" w:hAnsi="Arial" w:cs="Arial"/>
          <w:color w:val="000000"/>
          <w:sz w:val="20"/>
          <w:szCs w:val="20"/>
        </w:rPr>
      </w:pPr>
    </w:p>
    <w:p w14:paraId="093751A6" w14:textId="24A5E9E5" w:rsidR="008A681D" w:rsidRDefault="008A681D" w:rsidP="008A681D">
      <w:pPr>
        <w:spacing w:line="276" w:lineRule="auto"/>
        <w:textAlignment w:val="baseline"/>
        <w:rPr>
          <w:rFonts w:ascii="Arial" w:hAnsi="Arial" w:cs="Arial"/>
          <w:b/>
          <w:color w:val="000000"/>
          <w:sz w:val="20"/>
          <w:szCs w:val="20"/>
        </w:rPr>
      </w:pPr>
      <w:r w:rsidRPr="00E05CEB">
        <w:rPr>
          <w:rFonts w:ascii="Arial" w:hAnsi="Arial" w:cs="Arial"/>
          <w:color w:val="000000"/>
          <w:sz w:val="20"/>
          <w:szCs w:val="20"/>
        </w:rPr>
        <w:t xml:space="preserve">Applications must </w:t>
      </w:r>
      <w:r>
        <w:rPr>
          <w:rFonts w:ascii="Arial" w:hAnsi="Arial" w:cs="Arial"/>
          <w:color w:val="000000"/>
          <w:sz w:val="20"/>
          <w:szCs w:val="20"/>
        </w:rPr>
        <w:t xml:space="preserve">be received by </w:t>
      </w:r>
      <w:r w:rsidR="00EE3977">
        <w:rPr>
          <w:rFonts w:ascii="Arial" w:hAnsi="Arial" w:cs="Arial"/>
          <w:color w:val="000000"/>
          <w:sz w:val="20"/>
          <w:szCs w:val="20"/>
        </w:rPr>
        <w:t>January 11, 2021</w:t>
      </w:r>
      <w:r>
        <w:rPr>
          <w:rFonts w:ascii="Arial" w:hAnsi="Arial" w:cs="Arial"/>
          <w:color w:val="000000"/>
          <w:sz w:val="20"/>
          <w:szCs w:val="20"/>
        </w:rPr>
        <w:t xml:space="preserve">. </w:t>
      </w:r>
    </w:p>
    <w:p w14:paraId="6E096944" w14:textId="77777777" w:rsidR="00072389" w:rsidRPr="00BE5147" w:rsidRDefault="00072389">
      <w:pPr>
        <w:ind w:left="720"/>
        <w:textAlignment w:val="baseline"/>
        <w:rPr>
          <w:rFonts w:ascii="Arial" w:hAnsi="Arial" w:cs="Arial"/>
          <w:color w:val="000000"/>
          <w:sz w:val="20"/>
          <w:szCs w:val="20"/>
        </w:rPr>
      </w:pPr>
    </w:p>
    <w:p w14:paraId="5CFE2C35" w14:textId="18A249C1" w:rsidR="00E05CEB" w:rsidRDefault="00E05CEB" w:rsidP="00E05CEB">
      <w:pPr>
        <w:spacing w:line="276" w:lineRule="auto"/>
        <w:textAlignment w:val="baseline"/>
        <w:rPr>
          <w:rFonts w:ascii="Arial" w:eastAsia="PMingLiU" w:hAnsi="Arial" w:cs="Arial"/>
          <w:sz w:val="20"/>
          <w:szCs w:val="20"/>
        </w:rPr>
      </w:pPr>
      <w:r w:rsidRPr="0059402A">
        <w:rPr>
          <w:rFonts w:ascii="Arial" w:eastAsia="PMingLiU" w:hAnsi="Arial" w:cs="Arial"/>
          <w:sz w:val="20"/>
          <w:szCs w:val="20"/>
        </w:rPr>
        <w:t>Applicants must provide all information requested. Late or incomplete applications will not be considered.</w:t>
      </w:r>
      <w:r w:rsidRPr="00322219">
        <w:rPr>
          <w:rFonts w:ascii="Arial" w:eastAsia="PMingLiU" w:hAnsi="Arial" w:cs="Arial"/>
          <w:sz w:val="20"/>
          <w:szCs w:val="20"/>
        </w:rPr>
        <w:t xml:space="preserve"> </w:t>
      </w:r>
      <w:r w:rsidRPr="00BE5147">
        <w:rPr>
          <w:rFonts w:ascii="Arial" w:eastAsia="PMingLiU" w:hAnsi="Arial" w:cs="Arial"/>
          <w:sz w:val="20"/>
          <w:szCs w:val="20"/>
        </w:rPr>
        <w:t xml:space="preserve">Applicants may submit responses </w:t>
      </w:r>
      <w:r w:rsidR="00B60013">
        <w:rPr>
          <w:rFonts w:ascii="Arial" w:eastAsia="PMingLiU" w:hAnsi="Arial" w:cs="Arial"/>
          <w:sz w:val="20"/>
          <w:szCs w:val="20"/>
        </w:rPr>
        <w:t xml:space="preserve">to the application </w:t>
      </w:r>
      <w:r w:rsidRPr="00BE5147">
        <w:rPr>
          <w:rFonts w:ascii="Arial" w:eastAsia="PMingLiU" w:hAnsi="Arial" w:cs="Arial"/>
          <w:sz w:val="20"/>
          <w:szCs w:val="20"/>
        </w:rPr>
        <w:t xml:space="preserve">in </w:t>
      </w:r>
      <w:r>
        <w:rPr>
          <w:rFonts w:ascii="Arial" w:eastAsia="PMingLiU" w:hAnsi="Arial" w:cs="Arial"/>
          <w:sz w:val="20"/>
          <w:szCs w:val="20"/>
        </w:rPr>
        <w:t xml:space="preserve">a separate </w:t>
      </w:r>
      <w:r w:rsidRPr="00BE5147">
        <w:rPr>
          <w:rFonts w:ascii="Arial" w:eastAsia="PMingLiU" w:hAnsi="Arial" w:cs="Arial"/>
          <w:sz w:val="20"/>
          <w:szCs w:val="20"/>
        </w:rPr>
        <w:t xml:space="preserve">Word or PDF </w:t>
      </w:r>
      <w:r>
        <w:rPr>
          <w:rFonts w:ascii="Arial" w:eastAsia="PMingLiU" w:hAnsi="Arial" w:cs="Arial"/>
          <w:sz w:val="20"/>
          <w:szCs w:val="20"/>
        </w:rPr>
        <w:t>file</w:t>
      </w:r>
      <w:r w:rsidRPr="00BE5147">
        <w:rPr>
          <w:rFonts w:ascii="Arial" w:eastAsia="PMingLiU" w:hAnsi="Arial" w:cs="Arial"/>
          <w:sz w:val="20"/>
          <w:szCs w:val="20"/>
        </w:rPr>
        <w:t xml:space="preserve">. In addition to any required attachments to the application, applicants may attach information to support their applications </w:t>
      </w:r>
      <w:r w:rsidR="00C5404D">
        <w:rPr>
          <w:rFonts w:ascii="Arial" w:eastAsia="PMingLiU" w:hAnsi="Arial" w:cs="Arial"/>
          <w:sz w:val="20"/>
          <w:szCs w:val="20"/>
        </w:rPr>
        <w:t xml:space="preserve">as </w:t>
      </w:r>
      <w:r w:rsidRPr="00BE5147">
        <w:rPr>
          <w:rFonts w:ascii="Arial" w:eastAsia="PMingLiU" w:hAnsi="Arial" w:cs="Arial"/>
          <w:sz w:val="20"/>
          <w:szCs w:val="20"/>
        </w:rPr>
        <w:t>needed (e.g., project budget table). DEQ may contact applicants for clarificati</w:t>
      </w:r>
      <w:r>
        <w:rPr>
          <w:rFonts w:ascii="Arial" w:eastAsia="PMingLiU" w:hAnsi="Arial" w:cs="Arial"/>
          <w:sz w:val="20"/>
          <w:szCs w:val="20"/>
        </w:rPr>
        <w:t xml:space="preserve">on and/or additional information. </w:t>
      </w:r>
      <w:r w:rsidRPr="0059402A">
        <w:rPr>
          <w:rFonts w:ascii="Arial" w:eastAsia="PMingLiU" w:hAnsi="Arial" w:cs="Arial"/>
          <w:sz w:val="20"/>
          <w:szCs w:val="20"/>
        </w:rPr>
        <w:t xml:space="preserve">Send questions </w:t>
      </w:r>
      <w:r>
        <w:rPr>
          <w:rFonts w:ascii="Arial" w:eastAsia="PMingLiU" w:hAnsi="Arial" w:cs="Arial"/>
          <w:sz w:val="20"/>
          <w:szCs w:val="20"/>
        </w:rPr>
        <w:t xml:space="preserve">regarding the application </w:t>
      </w:r>
      <w:r w:rsidRPr="0059402A">
        <w:rPr>
          <w:rFonts w:ascii="Arial" w:eastAsia="PMingLiU" w:hAnsi="Arial" w:cs="Arial"/>
          <w:sz w:val="20"/>
          <w:szCs w:val="20"/>
        </w:rPr>
        <w:t xml:space="preserve">to </w:t>
      </w:r>
      <w:r w:rsidR="00FA0915">
        <w:rPr>
          <w:rFonts w:ascii="Arial" w:hAnsi="Arial" w:cs="Arial"/>
          <w:color w:val="0000FF"/>
          <w:sz w:val="20"/>
          <w:szCs w:val="20"/>
          <w:u w:val="single"/>
        </w:rPr>
        <w:t>VW</w:t>
      </w:r>
      <w:r w:rsidRPr="0059402A">
        <w:rPr>
          <w:rFonts w:ascii="Arial" w:hAnsi="Arial" w:cs="Arial"/>
          <w:color w:val="0000FF"/>
          <w:sz w:val="20"/>
          <w:szCs w:val="20"/>
          <w:u w:val="single"/>
        </w:rPr>
        <w:t>mitigation@</w:t>
      </w:r>
      <w:r w:rsidR="00FA0915">
        <w:rPr>
          <w:rFonts w:ascii="Arial" w:hAnsi="Arial" w:cs="Arial"/>
          <w:color w:val="0000FF"/>
          <w:sz w:val="20"/>
          <w:szCs w:val="20"/>
          <w:u w:val="single"/>
        </w:rPr>
        <w:t>DEQ</w:t>
      </w:r>
      <w:r w:rsidR="009D4A58">
        <w:rPr>
          <w:rFonts w:ascii="Arial" w:hAnsi="Arial" w:cs="Arial"/>
          <w:color w:val="0000FF"/>
          <w:sz w:val="20"/>
          <w:szCs w:val="20"/>
          <w:u w:val="single"/>
        </w:rPr>
        <w:t>.v</w:t>
      </w:r>
      <w:r w:rsidRPr="0059402A">
        <w:rPr>
          <w:rFonts w:ascii="Arial" w:hAnsi="Arial" w:cs="Arial"/>
          <w:color w:val="0000FF"/>
          <w:sz w:val="20"/>
          <w:szCs w:val="20"/>
          <w:u w:val="single"/>
        </w:rPr>
        <w:t>irginia.gov</w:t>
      </w:r>
      <w:r w:rsidRPr="0059402A">
        <w:rPr>
          <w:rFonts w:ascii="Arial" w:eastAsia="PMingLiU" w:hAnsi="Arial" w:cs="Arial"/>
          <w:sz w:val="20"/>
          <w:szCs w:val="20"/>
        </w:rPr>
        <w:t xml:space="preserve">. </w:t>
      </w:r>
    </w:p>
    <w:p w14:paraId="56670955" w14:textId="50D5C0FE" w:rsidR="00E568BF" w:rsidRPr="00EE639A" w:rsidRDefault="00E568BF" w:rsidP="00BE5147">
      <w:pPr>
        <w:spacing w:before="122"/>
        <w:ind w:right="288"/>
        <w:textAlignment w:val="baseline"/>
      </w:pPr>
    </w:p>
    <w:sectPr w:rsidR="00E568BF" w:rsidRPr="00EE639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4E0DA" w14:textId="77777777" w:rsidR="00200DAB" w:rsidRDefault="00200DAB" w:rsidP="009B2BA0">
      <w:r>
        <w:separator/>
      </w:r>
    </w:p>
  </w:endnote>
  <w:endnote w:type="continuationSeparator" w:id="0">
    <w:p w14:paraId="51EF8DA9" w14:textId="77777777" w:rsidR="00200DAB" w:rsidRDefault="00200DAB" w:rsidP="009B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851906"/>
      <w:docPartObj>
        <w:docPartGallery w:val="Page Numbers (Bottom of Page)"/>
        <w:docPartUnique/>
      </w:docPartObj>
    </w:sdtPr>
    <w:sdtEndPr>
      <w:rPr>
        <w:noProof/>
      </w:rPr>
    </w:sdtEndPr>
    <w:sdtContent>
      <w:p w14:paraId="1731923C" w14:textId="2A884889" w:rsidR="00076806" w:rsidRDefault="00076806">
        <w:pPr>
          <w:pStyle w:val="Footer"/>
          <w:jc w:val="right"/>
        </w:pPr>
        <w:r>
          <w:fldChar w:fldCharType="begin"/>
        </w:r>
        <w:r>
          <w:instrText xml:space="preserve"> PAGE   \* MERGEFORMAT </w:instrText>
        </w:r>
        <w:r>
          <w:fldChar w:fldCharType="separate"/>
        </w:r>
        <w:r w:rsidR="007648E4">
          <w:rPr>
            <w:noProof/>
          </w:rPr>
          <w:t>6</w:t>
        </w:r>
        <w:r>
          <w:rPr>
            <w:noProof/>
          </w:rPr>
          <w:fldChar w:fldCharType="end"/>
        </w:r>
      </w:p>
    </w:sdtContent>
  </w:sdt>
  <w:p w14:paraId="2EA5FE56" w14:textId="77777777" w:rsidR="00076806" w:rsidRDefault="00076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7A014" w14:textId="77777777" w:rsidR="00200DAB" w:rsidRDefault="00200DAB" w:rsidP="009B2BA0">
      <w:r>
        <w:separator/>
      </w:r>
    </w:p>
  </w:footnote>
  <w:footnote w:type="continuationSeparator" w:id="0">
    <w:p w14:paraId="39961B7A" w14:textId="77777777" w:rsidR="00200DAB" w:rsidRDefault="00200DAB" w:rsidP="009B2BA0">
      <w:r>
        <w:continuationSeparator/>
      </w:r>
    </w:p>
  </w:footnote>
  <w:footnote w:id="1">
    <w:p w14:paraId="21CE6EE1" w14:textId="7A2272EB" w:rsidR="00B6274D" w:rsidRPr="00406448" w:rsidRDefault="00B6274D" w:rsidP="00B6274D">
      <w:pPr>
        <w:pStyle w:val="FootnoteText"/>
        <w:rPr>
          <w:rFonts w:ascii="Arial" w:hAnsi="Arial" w:cs="Arial"/>
          <w:sz w:val="16"/>
          <w:szCs w:val="16"/>
        </w:rPr>
      </w:pPr>
      <w:r>
        <w:rPr>
          <w:rStyle w:val="FootnoteReference"/>
        </w:rPr>
        <w:footnoteRef/>
      </w:r>
      <w:r>
        <w:t xml:space="preserve"> </w:t>
      </w:r>
      <w:r w:rsidR="00406448" w:rsidRPr="00406448">
        <w:rPr>
          <w:rFonts w:ascii="Arial" w:hAnsi="Arial" w:cs="Arial"/>
          <w:sz w:val="16"/>
          <w:szCs w:val="16"/>
        </w:rPr>
        <w:t>2018 Income Estimates by Jurisdiction (Virginia Localities)</w:t>
      </w:r>
      <w:r w:rsidR="00406448">
        <w:rPr>
          <w:rFonts w:ascii="Arial" w:hAnsi="Arial" w:cs="Arial"/>
          <w:sz w:val="16"/>
          <w:szCs w:val="16"/>
        </w:rPr>
        <w:t xml:space="preserve">, </w:t>
      </w:r>
      <w:r w:rsidR="00406448" w:rsidRPr="00406448">
        <w:rPr>
          <w:rFonts w:ascii="Arial" w:hAnsi="Arial" w:cs="Arial"/>
          <w:sz w:val="16"/>
          <w:szCs w:val="16"/>
        </w:rPr>
        <w:t>United States Census Bureau, 2018 Income and Economy, retrieved from http://www.census.gov/acs/www/data/data-tables-and-tools/data-profiles/2018/</w:t>
      </w:r>
      <w:r w:rsidR="00406448">
        <w:rPr>
          <w:rFonts w:ascii="Arial" w:hAnsi="Arial" w:cs="Arial"/>
          <w:sz w:val="16"/>
          <w:szCs w:val="16"/>
        </w:rPr>
        <w:t>.</w:t>
      </w:r>
    </w:p>
  </w:footnote>
  <w:footnote w:id="2">
    <w:p w14:paraId="73EA5AD5" w14:textId="0A1E0416" w:rsidR="00406448" w:rsidRDefault="00406448" w:rsidP="00406448">
      <w:pPr>
        <w:pStyle w:val="FootnoteText"/>
      </w:pPr>
      <w:r w:rsidRPr="00406448">
        <w:rPr>
          <w:rStyle w:val="FootnoteReference"/>
          <w:rFonts w:ascii="Arial" w:hAnsi="Arial" w:cs="Arial"/>
          <w:sz w:val="16"/>
          <w:szCs w:val="16"/>
        </w:rPr>
        <w:footnoteRef/>
      </w:r>
      <w:r w:rsidRPr="00406448">
        <w:rPr>
          <w:rFonts w:ascii="Arial" w:hAnsi="Arial" w:cs="Arial"/>
          <w:sz w:val="16"/>
          <w:szCs w:val="16"/>
        </w:rPr>
        <w:t xml:space="preserve"> 2018 Population Estimates by Race (Virginia Localities)</w:t>
      </w:r>
      <w:r>
        <w:rPr>
          <w:rFonts w:ascii="Arial" w:hAnsi="Arial" w:cs="Arial"/>
          <w:sz w:val="16"/>
          <w:szCs w:val="16"/>
        </w:rPr>
        <w:t xml:space="preserve">, </w:t>
      </w:r>
      <w:r w:rsidRPr="00406448">
        <w:rPr>
          <w:rFonts w:ascii="Arial" w:hAnsi="Arial" w:cs="Arial"/>
          <w:sz w:val="16"/>
          <w:szCs w:val="16"/>
        </w:rPr>
        <w:t>United States Census Bureau, 2018 Population Estimates, retrieved from http://demographics.coopercenter.org; 2018 Population Estimates by Hispanic Origin (Virginia Localities)</w:t>
      </w:r>
      <w:r>
        <w:rPr>
          <w:rFonts w:ascii="Arial" w:hAnsi="Arial" w:cs="Arial"/>
          <w:sz w:val="16"/>
          <w:szCs w:val="16"/>
        </w:rPr>
        <w:t xml:space="preserve">, </w:t>
      </w:r>
      <w:r w:rsidRPr="00406448">
        <w:rPr>
          <w:rFonts w:ascii="Arial" w:hAnsi="Arial" w:cs="Arial"/>
          <w:sz w:val="16"/>
          <w:szCs w:val="16"/>
        </w:rPr>
        <w:t>United States Census Bureau, Census 2010 and 2018 Population Estimates</w:t>
      </w:r>
      <w:r>
        <w:rPr>
          <w:rFonts w:ascii="Arial" w:hAnsi="Arial" w:cs="Arial"/>
          <w:sz w:val="16"/>
          <w:szCs w:val="16"/>
        </w:rPr>
        <w:t xml:space="preserve"> retrieved from </w:t>
      </w:r>
      <w:r w:rsidRPr="00406448">
        <w:rPr>
          <w:rFonts w:ascii="Arial" w:hAnsi="Arial" w:cs="Arial"/>
          <w:sz w:val="16"/>
          <w:szCs w:val="16"/>
        </w:rPr>
        <w:t>http:</w:t>
      </w:r>
      <w:r>
        <w:rPr>
          <w:rFonts w:ascii="Arial" w:hAnsi="Arial" w:cs="Arial"/>
          <w:sz w:val="16"/>
          <w:szCs w:val="16"/>
        </w:rPr>
        <w:t>//demographics.coopercenter.org.</w:t>
      </w:r>
    </w:p>
  </w:footnote>
  <w:footnote w:id="3">
    <w:p w14:paraId="1A8ABFB7" w14:textId="68644A8E" w:rsidR="005E6691" w:rsidRDefault="005E6691" w:rsidP="00DB6B3B">
      <w:pPr>
        <w:pStyle w:val="FootnoteText"/>
      </w:pPr>
      <w:r>
        <w:rPr>
          <w:rStyle w:val="FootnoteReference"/>
        </w:rPr>
        <w:footnoteRef/>
      </w:r>
      <w:r>
        <w:t xml:space="preserve"> </w:t>
      </w:r>
      <w:r w:rsidR="00DB6B3B" w:rsidRPr="00DB6B3B">
        <w:rPr>
          <w:rFonts w:ascii="Arial" w:hAnsi="Arial" w:cs="Arial"/>
          <w:sz w:val="16"/>
          <w:szCs w:val="16"/>
        </w:rPr>
        <w:t>2020 DERA Priority Area List, United States Environmental Protection Agency retrieved from www.epa.gov/sites/production/files/2019-11/documents/fy20_-priority-area-list-2019-12.pdf.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F39A5" w14:textId="71C14FF1" w:rsidR="00076806" w:rsidRDefault="00076806" w:rsidP="00A031F6">
    <w:pPr>
      <w:pStyle w:val="Header"/>
      <w:jc w:val="right"/>
      <w:rPr>
        <w:rFonts w:ascii="Arial" w:hAnsi="Arial" w:cs="Arial"/>
        <w:noProof/>
      </w:rPr>
    </w:pPr>
    <w:r w:rsidRPr="00517483">
      <w:rPr>
        <w:rFonts w:ascii="Arial" w:hAnsi="Arial" w:cs="Arial"/>
        <w:noProof/>
        <w:sz w:val="32"/>
        <w:szCs w:val="32"/>
      </w:rPr>
      <w:drawing>
        <wp:anchor distT="0" distB="0" distL="114300" distR="114300" simplePos="0" relativeHeight="251659264" behindDoc="1" locked="0" layoutInCell="1" allowOverlap="1" wp14:anchorId="6B40C509" wp14:editId="27BF448F">
          <wp:simplePos x="0" y="0"/>
          <wp:positionH relativeFrom="margin">
            <wp:posOffset>3845</wp:posOffset>
          </wp:positionH>
          <wp:positionV relativeFrom="margin">
            <wp:posOffset>-892810</wp:posOffset>
          </wp:positionV>
          <wp:extent cx="1143000" cy="539731"/>
          <wp:effectExtent l="0" t="0" r="0" b="0"/>
          <wp:wrapSquare wrapText="bothSides"/>
          <wp:docPr id="2" name="Picture 2" title="D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 logo banner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3000" cy="539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7483">
      <w:rPr>
        <w:rFonts w:ascii="Arial" w:eastAsia="Times New Roman" w:hAnsi="Arial" w:cs="Arial"/>
        <w:b/>
        <w:color w:val="000000"/>
        <w:sz w:val="32"/>
        <w:szCs w:val="32"/>
      </w:rPr>
      <w:t>Clean Air Communities Program</w:t>
    </w:r>
    <w:r w:rsidRPr="00843136">
      <w:rPr>
        <w:rFonts w:ascii="Arial" w:hAnsi="Arial" w:cs="Arial"/>
        <w:noProof/>
      </w:rPr>
      <w:t xml:space="preserve"> </w:t>
    </w:r>
  </w:p>
  <w:p w14:paraId="2024C24B" w14:textId="6354223D" w:rsidR="00076806" w:rsidRDefault="00076806" w:rsidP="00A031F6">
    <w:pPr>
      <w:pStyle w:val="Header"/>
      <w:jc w:val="right"/>
      <w:rPr>
        <w:rFonts w:ascii="Arial" w:hAnsi="Arial" w:cs="Arial"/>
        <w:noProof/>
      </w:rPr>
    </w:pPr>
    <w:r>
      <w:rPr>
        <w:rFonts w:ascii="Arial" w:hAnsi="Arial" w:cs="Arial"/>
        <w:noProof/>
      </w:rPr>
      <w:t>Request for Applications</w:t>
    </w:r>
  </w:p>
  <w:p w14:paraId="01D9494C" w14:textId="5A54E3F2" w:rsidR="007E0CE5" w:rsidRPr="002047EC" w:rsidRDefault="007E0CE5" w:rsidP="00BE5147">
    <w:pPr>
      <w:pStyle w:val="Header"/>
      <w:jc w:val="right"/>
      <w:rPr>
        <w:color w:val="C00000"/>
      </w:rPr>
    </w:pPr>
    <w:r w:rsidRPr="002047EC">
      <w:rPr>
        <w:rFonts w:ascii="Arial" w:hAnsi="Arial" w:cs="Arial"/>
        <w:noProof/>
        <w:color w:val="C00000"/>
      </w:rPr>
      <w:t>UPDATED October 2</w:t>
    </w:r>
    <w:r w:rsidR="000A2D8A" w:rsidRPr="002047EC">
      <w:rPr>
        <w:rFonts w:ascii="Arial" w:hAnsi="Arial" w:cs="Arial"/>
        <w:noProof/>
        <w:color w:val="C00000"/>
      </w:rPr>
      <w:t>7</w:t>
    </w:r>
    <w:r w:rsidRPr="002047EC">
      <w:rPr>
        <w:rFonts w:ascii="Arial" w:hAnsi="Arial" w:cs="Arial"/>
        <w:noProof/>
        <w:color w:val="C00000"/>
      </w:rPr>
      <w:t>, 2020</w:t>
    </w:r>
  </w:p>
  <w:p w14:paraId="100C3461" w14:textId="61CA6150" w:rsidR="00076806" w:rsidRDefault="00076806">
    <w:pPr>
      <w:pStyle w:val="Header"/>
    </w:pPr>
    <w:r>
      <w:rPr>
        <w:rFonts w:ascii="Arial" w:hAnsi="Arial" w:cs="Arial"/>
        <w:b/>
        <w:noProof/>
        <w:sz w:val="20"/>
        <w:szCs w:val="20"/>
      </w:rPr>
      <mc:AlternateContent>
        <mc:Choice Requires="wps">
          <w:drawing>
            <wp:inline distT="0" distB="0" distL="0" distR="0" wp14:anchorId="0F339F9C" wp14:editId="4A7ED62C">
              <wp:extent cx="5943600" cy="45085"/>
              <wp:effectExtent l="0" t="0" r="19050" b="12065"/>
              <wp:docPr id="1" name="Rectangle 1" title="Decorative"/>
              <wp:cNvGraphicFramePr/>
              <a:graphic xmlns:a="http://schemas.openxmlformats.org/drawingml/2006/main">
                <a:graphicData uri="http://schemas.microsoft.com/office/word/2010/wordprocessingShape">
                  <wps:wsp>
                    <wps:cNvSpPr/>
                    <wps:spPr>
                      <a:xfrm flipV="1">
                        <a:off x="0" y="0"/>
                        <a:ext cx="5943600" cy="45085"/>
                      </a:xfrm>
                      <a:prstGeom prst="rect">
                        <a:avLst/>
                      </a:prstGeom>
                      <a:solidFill>
                        <a:srgbClr val="00806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951981" id="Rectangle 1" o:spid="_x0000_s1026" alt="Title: Decorative" style="width:468pt;height:3.5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" fillcolor="#008061" strokecolor="#1f4d78 [1604]" strokeweight="1pt">
              <w10:anchorlock/>
            </v:rect>
          </w:pict>
        </mc:Fallback>
      </mc:AlternateContent>
    </w:r>
  </w:p>
  <w:p w14:paraId="2C042044" w14:textId="77777777" w:rsidR="00076806" w:rsidRDefault="00076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DF2"/>
    <w:multiLevelType w:val="hybridMultilevel"/>
    <w:tmpl w:val="62223B34"/>
    <w:lvl w:ilvl="0" w:tplc="112076CE">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03FDF"/>
    <w:multiLevelType w:val="hybridMultilevel"/>
    <w:tmpl w:val="B1D49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CD3F99"/>
    <w:multiLevelType w:val="hybridMultilevel"/>
    <w:tmpl w:val="465A5FCA"/>
    <w:lvl w:ilvl="0" w:tplc="FFFFFFFF">
      <w:start w:val="1"/>
      <w:numFmt w:val="bullet"/>
      <w:lvlText w:val="•"/>
      <w:lvlJc w:val="left"/>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484A0FE4"/>
    <w:multiLevelType w:val="hybridMultilevel"/>
    <w:tmpl w:val="C78E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318F6"/>
    <w:multiLevelType w:val="hybridMultilevel"/>
    <w:tmpl w:val="7A24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B2642"/>
    <w:multiLevelType w:val="hybridMultilevel"/>
    <w:tmpl w:val="F72022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680563CA"/>
    <w:multiLevelType w:val="multilevel"/>
    <w:tmpl w:val="30D83D5C"/>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15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9982948"/>
    <w:multiLevelType w:val="hybridMultilevel"/>
    <w:tmpl w:val="AFF276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759C2A22"/>
    <w:multiLevelType w:val="hybridMultilevel"/>
    <w:tmpl w:val="B0FC5302"/>
    <w:lvl w:ilvl="0" w:tplc="EC96B9BA">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3"/>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FB"/>
    <w:rsid w:val="00001B2C"/>
    <w:rsid w:val="00005A71"/>
    <w:rsid w:val="00043CD6"/>
    <w:rsid w:val="00063859"/>
    <w:rsid w:val="00072389"/>
    <w:rsid w:val="000734BF"/>
    <w:rsid w:val="00076806"/>
    <w:rsid w:val="00083271"/>
    <w:rsid w:val="00092C52"/>
    <w:rsid w:val="000A2D8A"/>
    <w:rsid w:val="000A6C59"/>
    <w:rsid w:val="000B0B84"/>
    <w:rsid w:val="000B7FF3"/>
    <w:rsid w:val="000C1EE6"/>
    <w:rsid w:val="000C3E33"/>
    <w:rsid w:val="000C6876"/>
    <w:rsid w:val="000D4D75"/>
    <w:rsid w:val="000F2C40"/>
    <w:rsid w:val="000F40DC"/>
    <w:rsid w:val="000F7DED"/>
    <w:rsid w:val="001123B4"/>
    <w:rsid w:val="00117589"/>
    <w:rsid w:val="001271E9"/>
    <w:rsid w:val="00127E22"/>
    <w:rsid w:val="001440F3"/>
    <w:rsid w:val="00146F86"/>
    <w:rsid w:val="00150146"/>
    <w:rsid w:val="00151DDB"/>
    <w:rsid w:val="001732B2"/>
    <w:rsid w:val="00174762"/>
    <w:rsid w:val="00174D98"/>
    <w:rsid w:val="00186C48"/>
    <w:rsid w:val="00195DDD"/>
    <w:rsid w:val="001A7F79"/>
    <w:rsid w:val="001B2DEC"/>
    <w:rsid w:val="001C199A"/>
    <w:rsid w:val="001C22E9"/>
    <w:rsid w:val="001E0C11"/>
    <w:rsid w:val="001E0C91"/>
    <w:rsid w:val="001E0D97"/>
    <w:rsid w:val="001E6407"/>
    <w:rsid w:val="001F7F72"/>
    <w:rsid w:val="00200DAB"/>
    <w:rsid w:val="00201FA9"/>
    <w:rsid w:val="002047EC"/>
    <w:rsid w:val="00206B09"/>
    <w:rsid w:val="002077FA"/>
    <w:rsid w:val="00216F47"/>
    <w:rsid w:val="00234B0F"/>
    <w:rsid w:val="002373A8"/>
    <w:rsid w:val="0023751E"/>
    <w:rsid w:val="00237A23"/>
    <w:rsid w:val="00241550"/>
    <w:rsid w:val="00244C95"/>
    <w:rsid w:val="00252DD6"/>
    <w:rsid w:val="002533A7"/>
    <w:rsid w:val="00260EC2"/>
    <w:rsid w:val="00260F20"/>
    <w:rsid w:val="00261B60"/>
    <w:rsid w:val="00267270"/>
    <w:rsid w:val="00281641"/>
    <w:rsid w:val="00283F48"/>
    <w:rsid w:val="00290118"/>
    <w:rsid w:val="002940AC"/>
    <w:rsid w:val="00296E74"/>
    <w:rsid w:val="002D077A"/>
    <w:rsid w:val="002D64C4"/>
    <w:rsid w:val="002E55B8"/>
    <w:rsid w:val="002F1607"/>
    <w:rsid w:val="003024EC"/>
    <w:rsid w:val="00303BB1"/>
    <w:rsid w:val="00311937"/>
    <w:rsid w:val="00312FCA"/>
    <w:rsid w:val="00322975"/>
    <w:rsid w:val="00327938"/>
    <w:rsid w:val="00330BEE"/>
    <w:rsid w:val="00343A38"/>
    <w:rsid w:val="00356504"/>
    <w:rsid w:val="0036046F"/>
    <w:rsid w:val="00367B03"/>
    <w:rsid w:val="003A174C"/>
    <w:rsid w:val="003C075A"/>
    <w:rsid w:val="003E1476"/>
    <w:rsid w:val="003F1398"/>
    <w:rsid w:val="003F2D99"/>
    <w:rsid w:val="003F5602"/>
    <w:rsid w:val="003F6678"/>
    <w:rsid w:val="00403A22"/>
    <w:rsid w:val="00406448"/>
    <w:rsid w:val="0041114C"/>
    <w:rsid w:val="004368EC"/>
    <w:rsid w:val="00436AF0"/>
    <w:rsid w:val="00443E02"/>
    <w:rsid w:val="00455C7D"/>
    <w:rsid w:val="004625A2"/>
    <w:rsid w:val="00465FE9"/>
    <w:rsid w:val="004963BA"/>
    <w:rsid w:val="004A1B10"/>
    <w:rsid w:val="004A41B1"/>
    <w:rsid w:val="004B09FE"/>
    <w:rsid w:val="004B3C3D"/>
    <w:rsid w:val="004D1DD4"/>
    <w:rsid w:val="004E1EC1"/>
    <w:rsid w:val="004E5A9D"/>
    <w:rsid w:val="00526C95"/>
    <w:rsid w:val="00531806"/>
    <w:rsid w:val="00547BD9"/>
    <w:rsid w:val="0055201B"/>
    <w:rsid w:val="00555FA1"/>
    <w:rsid w:val="00565DC6"/>
    <w:rsid w:val="00567B40"/>
    <w:rsid w:val="00582881"/>
    <w:rsid w:val="00596FB0"/>
    <w:rsid w:val="005970F3"/>
    <w:rsid w:val="005D1C78"/>
    <w:rsid w:val="005D5823"/>
    <w:rsid w:val="005E2400"/>
    <w:rsid w:val="005E370A"/>
    <w:rsid w:val="005E4D3A"/>
    <w:rsid w:val="005E6691"/>
    <w:rsid w:val="00602F8C"/>
    <w:rsid w:val="006039BA"/>
    <w:rsid w:val="00603C1E"/>
    <w:rsid w:val="0061464A"/>
    <w:rsid w:val="00620BDF"/>
    <w:rsid w:val="006234F5"/>
    <w:rsid w:val="0062645C"/>
    <w:rsid w:val="0063129E"/>
    <w:rsid w:val="00635782"/>
    <w:rsid w:val="006365D6"/>
    <w:rsid w:val="00647029"/>
    <w:rsid w:val="0065250A"/>
    <w:rsid w:val="006548A0"/>
    <w:rsid w:val="00660B4B"/>
    <w:rsid w:val="00676290"/>
    <w:rsid w:val="00677F4B"/>
    <w:rsid w:val="006858A6"/>
    <w:rsid w:val="006A0801"/>
    <w:rsid w:val="006C7C65"/>
    <w:rsid w:val="006C7E73"/>
    <w:rsid w:val="006D2294"/>
    <w:rsid w:val="006E177A"/>
    <w:rsid w:val="006E6D18"/>
    <w:rsid w:val="006F5339"/>
    <w:rsid w:val="00701851"/>
    <w:rsid w:val="00701D8E"/>
    <w:rsid w:val="00705976"/>
    <w:rsid w:val="00707E4D"/>
    <w:rsid w:val="00714A8B"/>
    <w:rsid w:val="00715933"/>
    <w:rsid w:val="00726F5B"/>
    <w:rsid w:val="00741FFD"/>
    <w:rsid w:val="007425FA"/>
    <w:rsid w:val="00742DA7"/>
    <w:rsid w:val="00743E15"/>
    <w:rsid w:val="007473B1"/>
    <w:rsid w:val="0076083F"/>
    <w:rsid w:val="007648E4"/>
    <w:rsid w:val="007674B4"/>
    <w:rsid w:val="0078036E"/>
    <w:rsid w:val="00783C51"/>
    <w:rsid w:val="0079094B"/>
    <w:rsid w:val="007958BD"/>
    <w:rsid w:val="007A3C28"/>
    <w:rsid w:val="007D50FF"/>
    <w:rsid w:val="007E0CE5"/>
    <w:rsid w:val="007E1CA0"/>
    <w:rsid w:val="007E5166"/>
    <w:rsid w:val="007E76AC"/>
    <w:rsid w:val="007F2684"/>
    <w:rsid w:val="007F30A7"/>
    <w:rsid w:val="00800289"/>
    <w:rsid w:val="00800DEE"/>
    <w:rsid w:val="00811EB6"/>
    <w:rsid w:val="00816250"/>
    <w:rsid w:val="00824825"/>
    <w:rsid w:val="00826135"/>
    <w:rsid w:val="00852E82"/>
    <w:rsid w:val="00860AC3"/>
    <w:rsid w:val="00863B29"/>
    <w:rsid w:val="008734E2"/>
    <w:rsid w:val="00881725"/>
    <w:rsid w:val="008829BB"/>
    <w:rsid w:val="008A3C6E"/>
    <w:rsid w:val="008A681D"/>
    <w:rsid w:val="008A6F56"/>
    <w:rsid w:val="008B736E"/>
    <w:rsid w:val="008B7A76"/>
    <w:rsid w:val="008C1465"/>
    <w:rsid w:val="008E77CD"/>
    <w:rsid w:val="00907BC1"/>
    <w:rsid w:val="00931157"/>
    <w:rsid w:val="00937248"/>
    <w:rsid w:val="009416D6"/>
    <w:rsid w:val="00947A18"/>
    <w:rsid w:val="00953B63"/>
    <w:rsid w:val="0096039B"/>
    <w:rsid w:val="009750F5"/>
    <w:rsid w:val="009860F7"/>
    <w:rsid w:val="009927E9"/>
    <w:rsid w:val="00993814"/>
    <w:rsid w:val="00994E5E"/>
    <w:rsid w:val="0099563E"/>
    <w:rsid w:val="009B1DF2"/>
    <w:rsid w:val="009B2BA0"/>
    <w:rsid w:val="009C5C15"/>
    <w:rsid w:val="009D3B70"/>
    <w:rsid w:val="009D4A58"/>
    <w:rsid w:val="00A01665"/>
    <w:rsid w:val="00A031F6"/>
    <w:rsid w:val="00A059AD"/>
    <w:rsid w:val="00A164D7"/>
    <w:rsid w:val="00A17646"/>
    <w:rsid w:val="00A27F84"/>
    <w:rsid w:val="00A3609A"/>
    <w:rsid w:val="00A37DC3"/>
    <w:rsid w:val="00A50310"/>
    <w:rsid w:val="00A70DF4"/>
    <w:rsid w:val="00A76FCD"/>
    <w:rsid w:val="00A81E3D"/>
    <w:rsid w:val="00A919B3"/>
    <w:rsid w:val="00A96BD3"/>
    <w:rsid w:val="00AA3204"/>
    <w:rsid w:val="00AA5BDC"/>
    <w:rsid w:val="00AC1DA1"/>
    <w:rsid w:val="00AC24A1"/>
    <w:rsid w:val="00AD4832"/>
    <w:rsid w:val="00AE5466"/>
    <w:rsid w:val="00AE693F"/>
    <w:rsid w:val="00AF771C"/>
    <w:rsid w:val="00B11498"/>
    <w:rsid w:val="00B13FE6"/>
    <w:rsid w:val="00B20BBB"/>
    <w:rsid w:val="00B22168"/>
    <w:rsid w:val="00B231E1"/>
    <w:rsid w:val="00B23B08"/>
    <w:rsid w:val="00B4048C"/>
    <w:rsid w:val="00B54216"/>
    <w:rsid w:val="00B60013"/>
    <w:rsid w:val="00B6274D"/>
    <w:rsid w:val="00B64060"/>
    <w:rsid w:val="00B6626B"/>
    <w:rsid w:val="00B8278B"/>
    <w:rsid w:val="00B92DBF"/>
    <w:rsid w:val="00B93C1B"/>
    <w:rsid w:val="00BA4EC9"/>
    <w:rsid w:val="00BB6106"/>
    <w:rsid w:val="00BB69B2"/>
    <w:rsid w:val="00BC43A5"/>
    <w:rsid w:val="00BC7DEE"/>
    <w:rsid w:val="00BD47D7"/>
    <w:rsid w:val="00BE5147"/>
    <w:rsid w:val="00BF15AE"/>
    <w:rsid w:val="00C064B5"/>
    <w:rsid w:val="00C07C2B"/>
    <w:rsid w:val="00C22F1E"/>
    <w:rsid w:val="00C276EA"/>
    <w:rsid w:val="00C3598B"/>
    <w:rsid w:val="00C368DC"/>
    <w:rsid w:val="00C36E81"/>
    <w:rsid w:val="00C433B5"/>
    <w:rsid w:val="00C5298D"/>
    <w:rsid w:val="00C5404D"/>
    <w:rsid w:val="00C718B3"/>
    <w:rsid w:val="00C744FB"/>
    <w:rsid w:val="00C75DAA"/>
    <w:rsid w:val="00C838A1"/>
    <w:rsid w:val="00C846DF"/>
    <w:rsid w:val="00C91815"/>
    <w:rsid w:val="00CB1E8C"/>
    <w:rsid w:val="00CB7E36"/>
    <w:rsid w:val="00CE4C15"/>
    <w:rsid w:val="00CF1E28"/>
    <w:rsid w:val="00D042FB"/>
    <w:rsid w:val="00D1298F"/>
    <w:rsid w:val="00D47C20"/>
    <w:rsid w:val="00D5683A"/>
    <w:rsid w:val="00D6717E"/>
    <w:rsid w:val="00D85A03"/>
    <w:rsid w:val="00D934D5"/>
    <w:rsid w:val="00D944D3"/>
    <w:rsid w:val="00DA5991"/>
    <w:rsid w:val="00DB041E"/>
    <w:rsid w:val="00DB3AE4"/>
    <w:rsid w:val="00DB433B"/>
    <w:rsid w:val="00DB6B3B"/>
    <w:rsid w:val="00DC1FA6"/>
    <w:rsid w:val="00DD074B"/>
    <w:rsid w:val="00DD2C70"/>
    <w:rsid w:val="00DD6318"/>
    <w:rsid w:val="00DD7163"/>
    <w:rsid w:val="00E05CEB"/>
    <w:rsid w:val="00E17048"/>
    <w:rsid w:val="00E21798"/>
    <w:rsid w:val="00E25A2D"/>
    <w:rsid w:val="00E568BF"/>
    <w:rsid w:val="00E81BDC"/>
    <w:rsid w:val="00E851DD"/>
    <w:rsid w:val="00E85EC8"/>
    <w:rsid w:val="00EB594D"/>
    <w:rsid w:val="00ED376B"/>
    <w:rsid w:val="00EE3977"/>
    <w:rsid w:val="00EE639A"/>
    <w:rsid w:val="00EF0956"/>
    <w:rsid w:val="00EF685C"/>
    <w:rsid w:val="00EF754E"/>
    <w:rsid w:val="00F0277F"/>
    <w:rsid w:val="00F055AE"/>
    <w:rsid w:val="00F07900"/>
    <w:rsid w:val="00F151C7"/>
    <w:rsid w:val="00F26007"/>
    <w:rsid w:val="00F4055D"/>
    <w:rsid w:val="00F52369"/>
    <w:rsid w:val="00F56A19"/>
    <w:rsid w:val="00F85447"/>
    <w:rsid w:val="00F96ACE"/>
    <w:rsid w:val="00FA01CC"/>
    <w:rsid w:val="00FA0915"/>
    <w:rsid w:val="00FA2361"/>
    <w:rsid w:val="00FA4BBE"/>
    <w:rsid w:val="00FB6F6F"/>
    <w:rsid w:val="00FC0082"/>
    <w:rsid w:val="00FC442B"/>
    <w:rsid w:val="00FC4F12"/>
    <w:rsid w:val="00FE0C96"/>
    <w:rsid w:val="00FE329D"/>
    <w:rsid w:val="00FF067D"/>
    <w:rsid w:val="00FF2417"/>
    <w:rsid w:val="00FF2E1F"/>
    <w:rsid w:val="00FF539D"/>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815C"/>
  <w15:chartTrackingRefBased/>
  <w15:docId w15:val="{A139AD4E-92C0-4FBC-91EB-2EDD666F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4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744F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744FB"/>
    <w:rPr>
      <w:sz w:val="20"/>
      <w:szCs w:val="20"/>
    </w:rPr>
  </w:style>
  <w:style w:type="table" w:styleId="TableGrid">
    <w:name w:val="Table Grid"/>
    <w:basedOn w:val="TableNormal"/>
    <w:rsid w:val="00C7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44FB"/>
    <w:rPr>
      <w:sz w:val="16"/>
      <w:szCs w:val="16"/>
    </w:rPr>
  </w:style>
  <w:style w:type="paragraph" w:styleId="BalloonText">
    <w:name w:val="Balloon Text"/>
    <w:basedOn w:val="Normal"/>
    <w:link w:val="BalloonTextChar"/>
    <w:uiPriority w:val="99"/>
    <w:semiHidden/>
    <w:unhideWhenUsed/>
    <w:rsid w:val="00C744F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744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41B1"/>
    <w:rPr>
      <w:b/>
      <w:bCs/>
    </w:rPr>
  </w:style>
  <w:style w:type="character" w:customStyle="1" w:styleId="CommentSubjectChar">
    <w:name w:val="Comment Subject Char"/>
    <w:basedOn w:val="CommentTextChar"/>
    <w:link w:val="CommentSubject"/>
    <w:uiPriority w:val="99"/>
    <w:semiHidden/>
    <w:rsid w:val="004A41B1"/>
    <w:rPr>
      <w:b/>
      <w:bCs/>
      <w:sz w:val="20"/>
      <w:szCs w:val="20"/>
    </w:rPr>
  </w:style>
  <w:style w:type="paragraph" w:styleId="Header">
    <w:name w:val="header"/>
    <w:basedOn w:val="Normal"/>
    <w:link w:val="HeaderChar"/>
    <w:uiPriority w:val="99"/>
    <w:unhideWhenUsed/>
    <w:rsid w:val="009B2BA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B2BA0"/>
  </w:style>
  <w:style w:type="paragraph" w:styleId="Footer">
    <w:name w:val="footer"/>
    <w:basedOn w:val="Normal"/>
    <w:link w:val="FooterChar"/>
    <w:uiPriority w:val="99"/>
    <w:unhideWhenUsed/>
    <w:rsid w:val="009B2BA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B2BA0"/>
  </w:style>
  <w:style w:type="character" w:styleId="Hyperlink">
    <w:name w:val="Hyperlink"/>
    <w:basedOn w:val="DefaultParagraphFont"/>
    <w:uiPriority w:val="99"/>
    <w:unhideWhenUsed/>
    <w:rsid w:val="006F5339"/>
    <w:rPr>
      <w:color w:val="0563C1" w:themeColor="hyperlink"/>
      <w:u w:val="single"/>
    </w:rPr>
  </w:style>
  <w:style w:type="table" w:customStyle="1" w:styleId="TableGrid1">
    <w:name w:val="Table Grid1"/>
    <w:basedOn w:val="TableNormal"/>
    <w:next w:val="TableGrid"/>
    <w:uiPriority w:val="39"/>
    <w:rsid w:val="00526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EE6"/>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62645C"/>
    <w:pPr>
      <w:spacing w:before="100" w:beforeAutospacing="1" w:after="100" w:afterAutospacing="1"/>
    </w:pPr>
  </w:style>
  <w:style w:type="paragraph" w:styleId="FootnoteText">
    <w:name w:val="footnote text"/>
    <w:basedOn w:val="Normal"/>
    <w:link w:val="FootnoteTextChar"/>
    <w:uiPriority w:val="99"/>
    <w:unhideWhenUsed/>
    <w:rsid w:val="00B6274D"/>
    <w:rPr>
      <w:sz w:val="20"/>
      <w:szCs w:val="20"/>
    </w:rPr>
  </w:style>
  <w:style w:type="character" w:customStyle="1" w:styleId="FootnoteTextChar">
    <w:name w:val="Footnote Text Char"/>
    <w:basedOn w:val="DefaultParagraphFont"/>
    <w:link w:val="FootnoteText"/>
    <w:uiPriority w:val="99"/>
    <w:rsid w:val="00B6274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6274D"/>
    <w:rPr>
      <w:vertAlign w:val="superscript"/>
    </w:rPr>
  </w:style>
  <w:style w:type="character" w:styleId="FollowedHyperlink">
    <w:name w:val="FollowedHyperlink"/>
    <w:basedOn w:val="DefaultParagraphFont"/>
    <w:uiPriority w:val="99"/>
    <w:semiHidden/>
    <w:unhideWhenUsed/>
    <w:rsid w:val="00C36E81"/>
    <w:rPr>
      <w:color w:val="954F72" w:themeColor="followedHyperlink"/>
      <w:u w:val="single"/>
    </w:rPr>
  </w:style>
  <w:style w:type="paragraph" w:customStyle="1" w:styleId="Default">
    <w:name w:val="Default"/>
    <w:rsid w:val="004625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3307">
      <w:bodyDiv w:val="1"/>
      <w:marLeft w:val="0"/>
      <w:marRight w:val="0"/>
      <w:marTop w:val="0"/>
      <w:marBottom w:val="0"/>
      <w:divBdr>
        <w:top w:val="none" w:sz="0" w:space="0" w:color="auto"/>
        <w:left w:val="none" w:sz="0" w:space="0" w:color="auto"/>
        <w:bottom w:val="none" w:sz="0" w:space="0" w:color="auto"/>
        <w:right w:val="none" w:sz="0" w:space="0" w:color="auto"/>
      </w:divBdr>
    </w:div>
    <w:div w:id="374429838">
      <w:bodyDiv w:val="1"/>
      <w:marLeft w:val="0"/>
      <w:marRight w:val="0"/>
      <w:marTop w:val="0"/>
      <w:marBottom w:val="0"/>
      <w:divBdr>
        <w:top w:val="none" w:sz="0" w:space="0" w:color="auto"/>
        <w:left w:val="none" w:sz="0" w:space="0" w:color="auto"/>
        <w:bottom w:val="none" w:sz="0" w:space="0" w:color="auto"/>
        <w:right w:val="none" w:sz="0" w:space="0" w:color="auto"/>
      </w:divBdr>
    </w:div>
    <w:div w:id="382600448">
      <w:bodyDiv w:val="1"/>
      <w:marLeft w:val="0"/>
      <w:marRight w:val="0"/>
      <w:marTop w:val="0"/>
      <w:marBottom w:val="0"/>
      <w:divBdr>
        <w:top w:val="none" w:sz="0" w:space="0" w:color="auto"/>
        <w:left w:val="none" w:sz="0" w:space="0" w:color="auto"/>
        <w:bottom w:val="none" w:sz="0" w:space="0" w:color="auto"/>
        <w:right w:val="none" w:sz="0" w:space="0" w:color="auto"/>
      </w:divBdr>
    </w:div>
    <w:div w:id="1476024434">
      <w:bodyDiv w:val="1"/>
      <w:marLeft w:val="0"/>
      <w:marRight w:val="0"/>
      <w:marTop w:val="0"/>
      <w:marBottom w:val="0"/>
      <w:divBdr>
        <w:top w:val="none" w:sz="0" w:space="0" w:color="auto"/>
        <w:left w:val="none" w:sz="0" w:space="0" w:color="auto"/>
        <w:bottom w:val="none" w:sz="0" w:space="0" w:color="auto"/>
        <w:right w:val="none" w:sz="0" w:space="0" w:color="auto"/>
      </w:divBdr>
    </w:div>
    <w:div w:id="1628052091">
      <w:bodyDiv w:val="1"/>
      <w:marLeft w:val="0"/>
      <w:marRight w:val="0"/>
      <w:marTop w:val="0"/>
      <w:marBottom w:val="0"/>
      <w:divBdr>
        <w:top w:val="none" w:sz="0" w:space="0" w:color="auto"/>
        <w:left w:val="none" w:sz="0" w:space="0" w:color="auto"/>
        <w:bottom w:val="none" w:sz="0" w:space="0" w:color="auto"/>
        <w:right w:val="none" w:sz="0" w:space="0" w:color="auto"/>
      </w:divBdr>
    </w:div>
    <w:div w:id="1859542843">
      <w:bodyDiv w:val="1"/>
      <w:marLeft w:val="0"/>
      <w:marRight w:val="0"/>
      <w:marTop w:val="0"/>
      <w:marBottom w:val="0"/>
      <w:divBdr>
        <w:top w:val="none" w:sz="0" w:space="0" w:color="auto"/>
        <w:left w:val="none" w:sz="0" w:space="0" w:color="auto"/>
        <w:bottom w:val="none" w:sz="0" w:space="0" w:color="auto"/>
        <w:right w:val="none" w:sz="0" w:space="0" w:color="auto"/>
      </w:divBdr>
    </w:div>
    <w:div w:id="20824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39582939466903398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q.virginia.gov/Programs/Air/VWMitigation.aspx" TargetMode="External"/><Relationship Id="rId4" Type="http://schemas.openxmlformats.org/officeDocument/2006/relationships/settings" Target="settings.xml"/><Relationship Id="rId9" Type="http://schemas.openxmlformats.org/officeDocument/2006/relationships/hyperlink" Target="https://global.gotowebinar.com/join/3271802866285740557/12332697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F09E2-9E78-432B-A235-D561DB26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Clean Air Communities Request for Applications</vt:lpstr>
    </vt:vector>
  </TitlesOfParts>
  <Company>Virginia IT Infrastructure Partnership</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Air Communities Request for Applications</dc:title>
  <dc:subject/>
  <dc:creator>DEQ</dc:creator>
  <cp:keywords/>
  <dc:description/>
  <cp:lastModifiedBy>DEQ</cp:lastModifiedBy>
  <cp:revision>2</cp:revision>
  <dcterms:created xsi:type="dcterms:W3CDTF">2020-10-27T16:47:00Z</dcterms:created>
  <dcterms:modified xsi:type="dcterms:W3CDTF">2020-10-27T16:47:00Z</dcterms:modified>
</cp:coreProperties>
</file>